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eastAsia="仿宋_GB2312"/>
          <w:sz w:val="44"/>
          <w:szCs w:val="44"/>
        </w:rPr>
      </w:pPr>
    </w:p>
    <w:p>
      <w:pPr>
        <w:spacing w:line="360" w:lineRule="auto"/>
        <w:rPr>
          <w:rFonts w:ascii="仿宋_GB2312" w:eastAsia="仿宋_GB2312"/>
          <w:sz w:val="44"/>
          <w:szCs w:val="44"/>
        </w:rPr>
      </w:pPr>
    </w:p>
    <w:p>
      <w:pPr>
        <w:spacing w:line="360" w:lineRule="auto"/>
        <w:rPr>
          <w:rFonts w:ascii="仿宋_GB2312" w:eastAsia="仿宋_GB2312"/>
          <w:sz w:val="44"/>
          <w:szCs w:val="44"/>
        </w:rPr>
      </w:pPr>
    </w:p>
    <w:p>
      <w:pPr>
        <w:spacing w:line="360" w:lineRule="auto"/>
        <w:rPr>
          <w:rFonts w:ascii="仿宋_GB2312" w:eastAsia="仿宋_GB2312"/>
          <w:sz w:val="44"/>
          <w:szCs w:val="44"/>
        </w:rPr>
      </w:pPr>
    </w:p>
    <w:p>
      <w:pPr>
        <w:jc w:val="center"/>
        <w:rPr>
          <w:rFonts w:ascii="宋体" w:hAnsi="宋体"/>
          <w:sz w:val="44"/>
          <w:szCs w:val="44"/>
        </w:rPr>
      </w:pPr>
      <w:r>
        <w:rPr>
          <w:rFonts w:ascii="宋体" w:hAnsi="宋体"/>
          <w:sz w:val="44"/>
          <w:szCs w:val="44"/>
        </w:rPr>
        <w:t>20</w:t>
      </w:r>
      <w:r>
        <w:rPr>
          <w:rFonts w:hint="eastAsia" w:ascii="宋体" w:hAnsi="宋体"/>
          <w:sz w:val="44"/>
          <w:szCs w:val="44"/>
        </w:rPr>
        <w:t>20</w:t>
      </w:r>
      <w:r>
        <w:rPr>
          <w:rFonts w:ascii="宋体" w:hAnsi="宋体"/>
          <w:sz w:val="44"/>
          <w:szCs w:val="44"/>
        </w:rPr>
        <w:t>年</w:t>
      </w:r>
      <w:r>
        <w:rPr>
          <w:rFonts w:hint="eastAsia" w:ascii="宋体" w:hAnsi="宋体"/>
          <w:sz w:val="44"/>
          <w:szCs w:val="44"/>
        </w:rPr>
        <w:t>度部门</w:t>
      </w:r>
      <w:r>
        <w:rPr>
          <w:rFonts w:ascii="宋体" w:hAnsi="宋体"/>
          <w:sz w:val="44"/>
          <w:szCs w:val="44"/>
        </w:rPr>
        <w:t>整体绩效自评报告</w:t>
      </w: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ind w:left="4190" w:leftChars="700" w:hanging="2720" w:hangingChars="850"/>
        <w:rPr>
          <w:rFonts w:ascii="仿宋_GB2312" w:eastAsia="仿宋_GB2312"/>
          <w:bCs/>
          <w:sz w:val="32"/>
          <w:szCs w:val="32"/>
        </w:rPr>
      </w:pPr>
      <w:r>
        <w:rPr>
          <w:rFonts w:hint="eastAsia" w:ascii="仿宋_GB2312" w:eastAsia="仿宋_GB2312"/>
          <w:sz w:val="32"/>
          <w:szCs w:val="32"/>
        </w:rPr>
        <w:t>部门名称（公章）：</w:t>
      </w:r>
      <w:r>
        <w:rPr>
          <w:rFonts w:hint="eastAsia" w:ascii="仿宋_GB2312" w:eastAsia="仿宋_GB2312"/>
          <w:bCs/>
          <w:sz w:val="28"/>
          <w:szCs w:val="28"/>
        </w:rPr>
        <w:t>深圳市大鹏新区坝光新村幼儿园</w:t>
      </w:r>
    </w:p>
    <w:p>
      <w:pPr>
        <w:spacing w:line="360" w:lineRule="auto"/>
        <w:ind w:firstLine="1440" w:firstLineChars="450"/>
        <w:rPr>
          <w:rFonts w:ascii="仿宋_GB2312" w:eastAsia="仿宋_GB2312"/>
          <w:sz w:val="32"/>
          <w:szCs w:val="32"/>
        </w:rPr>
      </w:pPr>
      <w:r>
        <w:rPr>
          <w:rFonts w:hint="eastAsia" w:ascii="仿宋_GB2312" w:eastAsia="仿宋_GB2312"/>
          <w:sz w:val="32"/>
          <w:szCs w:val="32"/>
        </w:rPr>
        <w:t>填报人：梁洁芸</w:t>
      </w:r>
    </w:p>
    <w:p>
      <w:pPr>
        <w:spacing w:line="360" w:lineRule="auto"/>
        <w:ind w:firstLine="1440" w:firstLineChars="450"/>
        <w:rPr>
          <w:rFonts w:ascii="仿宋_GB2312" w:eastAsia="仿宋_GB2312"/>
          <w:sz w:val="32"/>
          <w:szCs w:val="32"/>
        </w:rPr>
      </w:pPr>
      <w:r>
        <w:rPr>
          <w:rFonts w:hint="eastAsia" w:ascii="仿宋_GB2312" w:eastAsia="仿宋_GB2312"/>
          <w:sz w:val="32"/>
          <w:szCs w:val="32"/>
        </w:rPr>
        <w:t>联系电话：0755-84316166</w:t>
      </w:r>
    </w:p>
    <w:p>
      <w:pPr>
        <w:jc w:val="center"/>
        <w:rPr>
          <w:rFonts w:ascii="仿宋_GB2312" w:eastAsia="仿宋_GB2312"/>
          <w:sz w:val="32"/>
          <w:szCs w:val="32"/>
        </w:rPr>
      </w:pPr>
    </w:p>
    <w:p>
      <w:pPr>
        <w:jc w:val="center"/>
        <w:rPr>
          <w:rFonts w:ascii="宋体" w:hAnsi="宋体"/>
          <w:sz w:val="44"/>
          <w:szCs w:val="44"/>
        </w:rPr>
      </w:pPr>
    </w:p>
    <w:p>
      <w:pPr>
        <w:jc w:val="center"/>
        <w:rPr>
          <w:rFonts w:ascii="宋体" w:hAnsi="宋体"/>
          <w:sz w:val="44"/>
          <w:szCs w:val="44"/>
        </w:rPr>
      </w:pPr>
    </w:p>
    <w:p>
      <w:pPr>
        <w:rPr>
          <w:rFonts w:ascii="宋体" w:hAnsi="宋体"/>
          <w:sz w:val="44"/>
          <w:szCs w:val="44"/>
        </w:rPr>
      </w:pPr>
    </w:p>
    <w:p>
      <w:pPr>
        <w:rPr>
          <w:rFonts w:ascii="宋体" w:hAnsi="宋体"/>
          <w:sz w:val="44"/>
          <w:szCs w:val="44"/>
        </w:rPr>
      </w:pPr>
    </w:p>
    <w:p>
      <w:pPr>
        <w:rPr>
          <w:rFonts w:ascii="宋体" w:hAnsi="宋体"/>
          <w:sz w:val="44"/>
          <w:szCs w:val="44"/>
        </w:rPr>
      </w:pPr>
    </w:p>
    <w:p>
      <w:pPr>
        <w:snapToGrid w:val="0"/>
        <w:spacing w:line="540" w:lineRule="exact"/>
        <w:rPr>
          <w:rFonts w:ascii="宋体" w:hAnsi="宋体"/>
          <w:sz w:val="44"/>
          <w:szCs w:val="44"/>
        </w:rPr>
      </w:pPr>
    </w:p>
    <w:p>
      <w:pPr>
        <w:rPr>
          <w:rFonts w:ascii="仿宋_GB2312" w:hAnsi="黑体" w:eastAsia="仿宋_GB2312"/>
          <w:sz w:val="32"/>
          <w:szCs w:val="32"/>
        </w:rPr>
      </w:pPr>
    </w:p>
    <w:p>
      <w:pPr>
        <w:ind w:firstLine="640" w:firstLineChars="200"/>
        <w:rPr>
          <w:rFonts w:ascii="仿宋_GB2312" w:hAnsi="黑体" w:eastAsia="仿宋_GB2312"/>
          <w:bCs/>
          <w:sz w:val="32"/>
          <w:szCs w:val="32"/>
        </w:rPr>
      </w:pPr>
      <w:r>
        <w:rPr>
          <w:rFonts w:hint="eastAsia" w:ascii="仿宋_GB2312" w:hAnsi="黑体" w:eastAsia="仿宋_GB2312"/>
          <w:sz w:val="32"/>
          <w:szCs w:val="32"/>
        </w:rPr>
        <w:t>为贯彻落实党的十九大精神，按照《中共中央 国务院关于全面实施预算绩效管理的意见》《深圳市财政局关于贯彻落实全面实施预算绩效管理有关事项的通知》及《大鹏新区贯彻落实全面实施预算绩效管理实施方案》要求，根据《中华人民共和国预算法》及实施条例，结合深圳市大鹏新区发展和财政局《关于做好新区2021预算绩效管理工作的通知》要求（深鹏发财函〔2021〕51号），深圳市大鹏新区坝光新村幼儿园组织绩效评价小组对2020年度部门整体支出展开绩效自评工作，现将评价情况及结果报告如下。</w:t>
      </w:r>
    </w:p>
    <w:p>
      <w:pPr>
        <w:ind w:firstLine="420"/>
        <w:rPr>
          <w:rFonts w:ascii="黑体" w:hAnsi="黑体" w:eastAsia="黑体"/>
          <w:sz w:val="32"/>
          <w:szCs w:val="32"/>
        </w:rPr>
      </w:pPr>
      <w:r>
        <w:rPr>
          <w:rFonts w:hint="eastAsia" w:ascii="黑体" w:hAnsi="黑体" w:eastAsia="黑体"/>
          <w:sz w:val="32"/>
          <w:szCs w:val="32"/>
        </w:rPr>
        <w:t>一、部门（单位）基本情况</w:t>
      </w:r>
    </w:p>
    <w:p>
      <w:pPr>
        <w:ind w:firstLine="420"/>
        <w:rPr>
          <w:rFonts w:ascii="楷体" w:hAnsi="楷体" w:eastAsia="楷体"/>
          <w:b/>
          <w:sz w:val="32"/>
          <w:szCs w:val="32"/>
        </w:rPr>
      </w:pPr>
      <w:r>
        <w:rPr>
          <w:rFonts w:hint="eastAsia" w:ascii="楷体" w:hAnsi="楷体" w:eastAsia="楷体"/>
          <w:b/>
          <w:sz w:val="32"/>
          <w:szCs w:val="32"/>
        </w:rPr>
        <w:t>（一）部门主要职能</w:t>
      </w:r>
    </w:p>
    <w:p>
      <w:pPr>
        <w:ind w:firstLine="640" w:firstLineChars="200"/>
        <w:rPr>
          <w:rFonts w:ascii="仿宋_GB2312" w:hAnsi="黑体" w:eastAsia="仿宋_GB2312"/>
          <w:sz w:val="32"/>
          <w:szCs w:val="32"/>
        </w:rPr>
      </w:pPr>
      <w:r>
        <w:rPr>
          <w:rFonts w:hint="eastAsia" w:ascii="仿宋_GB2312" w:hAnsi="黑体" w:eastAsia="仿宋_GB2312"/>
          <w:sz w:val="32"/>
          <w:szCs w:val="32"/>
        </w:rPr>
        <w:t>1.认真贯彻教育方针，贯彻执行《幼儿园管理条例》、《幼儿园工作规程》等有关法规、法律、执行上级主管部门的指示和下达的各项工作，努力完成任务。</w:t>
      </w:r>
    </w:p>
    <w:p>
      <w:pPr>
        <w:ind w:firstLine="640" w:firstLineChars="200"/>
        <w:rPr>
          <w:rFonts w:ascii="仿宋_GB2312" w:hAnsi="黑体" w:eastAsia="仿宋_GB2312"/>
          <w:sz w:val="32"/>
          <w:szCs w:val="32"/>
        </w:rPr>
      </w:pPr>
      <w:r>
        <w:rPr>
          <w:rFonts w:hint="eastAsia" w:ascii="仿宋_GB2312" w:hAnsi="黑体" w:eastAsia="仿宋_GB2312"/>
          <w:sz w:val="32"/>
          <w:szCs w:val="32"/>
        </w:rPr>
        <w:t>2.主持全园行政、业务管理，制定全园工作计划，做好实施、检查、总结工作。努力提高保教质量，提高服务质量。</w:t>
      </w:r>
    </w:p>
    <w:p>
      <w:pPr>
        <w:ind w:firstLine="640" w:firstLineChars="200"/>
        <w:rPr>
          <w:rFonts w:ascii="仿宋_GB2312" w:hAnsi="黑体" w:eastAsia="仿宋_GB2312"/>
          <w:sz w:val="32"/>
          <w:szCs w:val="32"/>
        </w:rPr>
      </w:pPr>
      <w:r>
        <w:rPr>
          <w:rFonts w:hint="eastAsia" w:ascii="仿宋_GB2312" w:hAnsi="黑体" w:eastAsia="仿宋_GB2312"/>
          <w:sz w:val="32"/>
          <w:szCs w:val="32"/>
        </w:rPr>
        <w:t>3.负责聘任、调配工作人员，对全园教职工工作进行指导、检查、评估、考核，并给予奖惩。</w:t>
      </w:r>
    </w:p>
    <w:p>
      <w:pPr>
        <w:ind w:firstLine="640" w:firstLineChars="200"/>
        <w:rPr>
          <w:rFonts w:ascii="仿宋_GB2312" w:hAnsi="黑体" w:eastAsia="仿宋_GB2312"/>
          <w:sz w:val="32"/>
          <w:szCs w:val="32"/>
        </w:rPr>
      </w:pPr>
      <w:r>
        <w:rPr>
          <w:rFonts w:hint="eastAsia" w:ascii="仿宋_GB2312" w:hAnsi="黑体" w:eastAsia="仿宋_GB2312"/>
          <w:sz w:val="32"/>
          <w:szCs w:val="32"/>
        </w:rPr>
        <w:t>4.加强全园教工的思想工作，进行职业道德教育，组织文化、业务学习。并为他们的政治、文化业务进修创造必要的条件，关心和逐步改善教工的生活工作条件，提高他们的政治、业务水平，维护他们的正当权益，形成良好园风。</w:t>
      </w:r>
    </w:p>
    <w:p>
      <w:pPr>
        <w:ind w:firstLine="640" w:firstLineChars="200"/>
        <w:rPr>
          <w:rFonts w:ascii="仿宋_GB2312" w:hAnsi="黑体" w:eastAsia="仿宋_GB2312"/>
          <w:sz w:val="32"/>
          <w:szCs w:val="32"/>
        </w:rPr>
      </w:pPr>
      <w:r>
        <w:rPr>
          <w:rFonts w:hint="eastAsia" w:ascii="仿宋_GB2312" w:hAnsi="黑体" w:eastAsia="仿宋_GB2312"/>
          <w:sz w:val="32"/>
          <w:szCs w:val="32"/>
        </w:rPr>
        <w:t>5.坚持勤俭办园的方针，管理好园舍、设备和经费，督促事务、财务人员合理安排资金开支，搞好绿化工作，不断改善办园的条件。</w:t>
      </w:r>
    </w:p>
    <w:p>
      <w:pPr>
        <w:ind w:firstLine="640" w:firstLineChars="200"/>
        <w:rPr>
          <w:rFonts w:ascii="仿宋_GB2312" w:hAnsi="黑体" w:eastAsia="仿宋_GB2312"/>
          <w:sz w:val="32"/>
          <w:szCs w:val="32"/>
        </w:rPr>
      </w:pPr>
      <w:r>
        <w:rPr>
          <w:rFonts w:hint="eastAsia" w:ascii="仿宋_GB2312" w:hAnsi="黑体" w:eastAsia="仿宋_GB2312"/>
          <w:sz w:val="32"/>
          <w:szCs w:val="32"/>
        </w:rPr>
        <w:t>6.增强民主管理意识，经常听取意见，改进工作。依靠和发挥党、政、工、团骨干作用，办好幼儿园。</w:t>
      </w:r>
    </w:p>
    <w:p>
      <w:pPr>
        <w:ind w:firstLine="640" w:firstLineChars="200"/>
        <w:rPr>
          <w:rFonts w:ascii="仿宋_GB2312" w:hAnsi="黑体" w:eastAsia="仿宋_GB2312"/>
          <w:sz w:val="32"/>
          <w:szCs w:val="32"/>
        </w:rPr>
      </w:pPr>
      <w:r>
        <w:rPr>
          <w:rFonts w:hint="eastAsia" w:ascii="仿宋_GB2312" w:hAnsi="黑体" w:eastAsia="仿宋_GB2312"/>
          <w:sz w:val="32"/>
          <w:szCs w:val="32"/>
        </w:rPr>
        <w:t>7.努力学习，及时了解吸收幼儿工作的信息、经验、不断提高自身政治、文化业务素质，推动促进幼儿园各项工作的开展。</w:t>
      </w:r>
    </w:p>
    <w:p>
      <w:pPr>
        <w:ind w:firstLine="420"/>
        <w:rPr>
          <w:rFonts w:hint="eastAsia" w:ascii="仿宋_GB2312" w:hAnsi="黑体" w:eastAsia="仿宋_GB2312"/>
          <w:sz w:val="32"/>
          <w:szCs w:val="32"/>
          <w:lang w:eastAsia="zh-CN"/>
        </w:rPr>
      </w:pPr>
      <w:r>
        <w:rPr>
          <w:rFonts w:ascii="仿宋_GB2312" w:hAnsi="黑体" w:eastAsia="仿宋_GB2312"/>
          <w:sz w:val="32"/>
          <w:szCs w:val="32"/>
        </w:rPr>
        <w:t>　</w:t>
      </w:r>
      <w:r>
        <w:rPr>
          <w:rFonts w:hint="eastAsia" w:ascii="仿宋_GB2312" w:hAnsi="黑体" w:eastAsia="仿宋_GB2312"/>
          <w:sz w:val="32"/>
          <w:szCs w:val="32"/>
        </w:rPr>
        <w:t>8.</w:t>
      </w:r>
      <w:r>
        <w:rPr>
          <w:rFonts w:ascii="仿宋_GB2312" w:hAnsi="黑体" w:eastAsia="仿宋_GB2312"/>
          <w:sz w:val="32"/>
          <w:szCs w:val="32"/>
        </w:rPr>
        <w:t>承办</w:t>
      </w:r>
      <w:r>
        <w:rPr>
          <w:rFonts w:hint="eastAsia" w:ascii="仿宋_GB2312" w:hAnsi="黑体" w:eastAsia="仿宋_GB2312"/>
          <w:sz w:val="32"/>
          <w:szCs w:val="32"/>
        </w:rPr>
        <w:t>新区党工委、管委会</w:t>
      </w:r>
      <w:r>
        <w:rPr>
          <w:rFonts w:ascii="仿宋_GB2312" w:hAnsi="黑体" w:eastAsia="仿宋_GB2312"/>
          <w:sz w:val="32"/>
          <w:szCs w:val="32"/>
        </w:rPr>
        <w:t>和上级部门交办的其他事项</w:t>
      </w:r>
      <w:r>
        <w:rPr>
          <w:rFonts w:hint="eastAsia" w:ascii="仿宋_GB2312" w:hAnsi="黑体" w:eastAsia="仿宋_GB2312"/>
          <w:sz w:val="32"/>
          <w:szCs w:val="32"/>
          <w:lang w:eastAsia="zh-CN"/>
        </w:rPr>
        <w:t>。</w:t>
      </w:r>
    </w:p>
    <w:p>
      <w:pPr>
        <w:ind w:firstLine="420"/>
        <w:rPr>
          <w:rFonts w:ascii="楷体" w:hAnsi="楷体" w:eastAsia="楷体"/>
          <w:b/>
          <w:sz w:val="32"/>
          <w:szCs w:val="32"/>
        </w:rPr>
      </w:pPr>
      <w:r>
        <w:rPr>
          <w:rFonts w:hint="eastAsia" w:ascii="楷体" w:hAnsi="楷体" w:eastAsia="楷体"/>
          <w:b/>
          <w:sz w:val="32"/>
          <w:szCs w:val="32"/>
        </w:rPr>
        <w:t>（二）年度总体工作和重点工作任务。</w:t>
      </w:r>
    </w:p>
    <w:p>
      <w:pPr>
        <w:ind w:firstLine="640" w:firstLineChars="200"/>
        <w:rPr>
          <w:rFonts w:ascii="仿宋_GB2312" w:hAnsi="黑体" w:eastAsia="仿宋_GB2312"/>
          <w:sz w:val="32"/>
          <w:szCs w:val="32"/>
        </w:rPr>
      </w:pPr>
      <w:r>
        <w:rPr>
          <w:rFonts w:hint="eastAsia" w:ascii="仿宋_GB2312" w:hAnsi="黑体" w:eastAsia="仿宋_GB2312"/>
          <w:sz w:val="32"/>
          <w:szCs w:val="32"/>
        </w:rPr>
        <w:t>2020年， 面对全国持续的学前教育改革浪潮，“办好学前教育、办有中国特色的好的学前教育”、“幼有善育、学有优教，办人民满意的教育”成为我们学前教育工作者的历史使命。在这个历史洪流中，坝光新村幼儿园认真贯彻落实《中共中央、国务院关于全面深化新时代教师队伍建设改革的意见》、《教育部等四部门关于实施第三期学前教育行动计划的意见》的文件精神，依据《幼儿园教育指导纲要》、《3-6 岁儿童学习与发展指南》、《幼儿园工作规程》等政策法规，以“规范办园、德育为首、教学为主、全面发展”为战略指导思想，外化于行、内化于心，稳步推进并实现坝园愿景。秉承“立德立行，至善至美”的初心，认真分析幼儿园的现状，以“仰望星空、脚踏实地”之匠心进行阶段性的战略部署，以期实现成为优质的幼儿园。重点工作为：优化办园条件，完善管理制度，加强师德建设，加强安全管理，强化园本培训，稳定后勤队伍，提高卫生保健质量，密切家园联系。</w:t>
      </w:r>
    </w:p>
    <w:p>
      <w:pPr>
        <w:ind w:firstLine="643" w:firstLineChars="200"/>
        <w:rPr>
          <w:rFonts w:ascii="楷体" w:hAnsi="楷体" w:eastAsia="楷体"/>
          <w:b/>
          <w:sz w:val="32"/>
          <w:szCs w:val="32"/>
        </w:rPr>
      </w:pPr>
      <w:r>
        <w:rPr>
          <w:rFonts w:hint="eastAsia" w:ascii="楷体" w:hAnsi="楷体" w:eastAsia="楷体"/>
          <w:b/>
          <w:sz w:val="32"/>
          <w:szCs w:val="32"/>
        </w:rPr>
        <w:t>（三）2020年部门预算编制情况。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1.部门预算编制合理规范。我园于2020年成立，未开展2020年部门预算编制工作，但在经费申请和预算执行过程中，严格按照新区发展和财政局、</w:t>
      </w:r>
      <w:r>
        <w:rPr>
          <w:rFonts w:hint="eastAsia" w:ascii="仿宋_GB2312" w:hAnsi="黑体" w:eastAsia="仿宋_GB2312"/>
          <w:sz w:val="32"/>
          <w:szCs w:val="32"/>
          <w:lang w:eastAsia="zh-CN"/>
        </w:rPr>
        <w:t>新区教育</w:t>
      </w:r>
      <w:r>
        <w:rPr>
          <w:rFonts w:hint="eastAsia" w:ascii="仿宋_GB2312" w:hAnsi="黑体" w:eastAsia="仿宋_GB2312"/>
          <w:sz w:val="32"/>
          <w:szCs w:val="32"/>
        </w:rPr>
        <w:t>和卫生健康局有关预算管理规定的要求，紧密结合部门职能，按照收支平衡、保障重点的原则，合理申请经费，支持幼儿园正常运营和发展。</w:t>
      </w:r>
      <w:r>
        <w:rPr>
          <w:rFonts w:hint="eastAsia" w:ascii="仿宋_GB2312" w:hAnsi="黑体" w:eastAsia="仿宋_GB2312"/>
          <w:sz w:val="32"/>
          <w:szCs w:val="32"/>
          <w:lang w:val="en-US" w:eastAsia="zh-CN"/>
        </w:rPr>
        <w:t>后勤部门</w:t>
      </w:r>
      <w:r>
        <w:rPr>
          <w:rFonts w:hint="eastAsia" w:ascii="仿宋_GB2312" w:hAnsi="黑体" w:eastAsia="仿宋_GB2312"/>
          <w:sz w:val="32"/>
          <w:szCs w:val="32"/>
        </w:rPr>
        <w:t>作为预算绩效归口管理部门负责汇总审核部门预算，综合平衡预算收支，提出预算支出的重点与安排建议，形成年度建议预算数,由园领导会议审议通过后报新区教育和卫生健康局。全年部门预算资金能根据年度工作重点，在不同项目、不同用途之间分配合理，部门预算分配不固化，能根据实际情况在同一项目内合理调整。</w:t>
      </w:r>
    </w:p>
    <w:p>
      <w:pPr>
        <w:ind w:firstLine="640" w:firstLineChars="200"/>
        <w:rPr>
          <w:rFonts w:ascii="仿宋_GB2312" w:hAnsi="黑体" w:eastAsia="仿宋_GB2312"/>
          <w:sz w:val="32"/>
          <w:szCs w:val="32"/>
        </w:rPr>
      </w:pPr>
      <w:r>
        <w:rPr>
          <w:rFonts w:hint="eastAsia" w:ascii="仿宋_GB2312" w:hAnsi="黑体" w:eastAsia="仿宋_GB2312"/>
          <w:sz w:val="32"/>
          <w:szCs w:val="32"/>
        </w:rPr>
        <w:t>2.绩效目标设置完整明确。根据新区</w:t>
      </w:r>
      <w:r>
        <w:rPr>
          <w:rFonts w:hint="eastAsia" w:ascii="仿宋_GB2312" w:hAnsi="黑体" w:eastAsia="仿宋_GB2312"/>
          <w:sz w:val="32"/>
          <w:szCs w:val="32"/>
          <w:lang w:val="en-US" w:eastAsia="zh-Hans"/>
        </w:rPr>
        <w:t>发展和财政局</w:t>
      </w:r>
      <w:r>
        <w:rPr>
          <w:rFonts w:hint="eastAsia" w:ascii="仿宋_GB2312" w:hAnsi="黑体" w:eastAsia="仿宋_GB2312"/>
          <w:sz w:val="32"/>
          <w:szCs w:val="32"/>
        </w:rPr>
        <w:t>和</w:t>
      </w:r>
      <w:r>
        <w:rPr>
          <w:rFonts w:hint="eastAsia" w:ascii="仿宋_GB2312" w:hAnsi="黑体" w:eastAsia="仿宋_GB2312"/>
          <w:sz w:val="32"/>
          <w:szCs w:val="32"/>
          <w:lang w:eastAsia="zh-CN"/>
        </w:rPr>
        <w:t>新区教育</w:t>
      </w:r>
      <w:r>
        <w:rPr>
          <w:rFonts w:hint="eastAsia" w:ascii="仿宋_GB2312" w:hAnsi="黑体" w:eastAsia="仿宋_GB2312"/>
          <w:sz w:val="32"/>
          <w:szCs w:val="32"/>
        </w:rPr>
        <w:t>和卫</w:t>
      </w:r>
      <w:r>
        <w:rPr>
          <w:rFonts w:hint="eastAsia" w:ascii="仿宋_GB2312" w:hAnsi="黑体" w:eastAsia="仿宋_GB2312"/>
          <w:sz w:val="32"/>
          <w:szCs w:val="32"/>
          <w:lang w:val="en-US" w:eastAsia="zh-CN"/>
        </w:rPr>
        <w:t>生健康</w:t>
      </w:r>
      <w:r>
        <w:rPr>
          <w:rFonts w:hint="eastAsia" w:ascii="仿宋_GB2312" w:hAnsi="黑体" w:eastAsia="仿宋_GB2312"/>
          <w:sz w:val="32"/>
          <w:szCs w:val="32"/>
        </w:rPr>
        <w:t>局的预算绩效管理工作安排，我园将所有项目支出纳入部门预算绩效管理并编制预算绩效目标，在绩效自评开展前，补充完善所有项目支出绩效目标，分别从产出目标和效益目标两方面设置了三级指标，根据工作计划、行业标准、历史标准等定性定量明确了指标目标值，实现绩效目标全覆盖，同时根据部门职责，合理设置部门整体个性化绩效指标。绩效目标设置完整、明确，符合我园履职要求，能够体现我园履职效果，绩效目标的目标值测算符合客观实际情况。</w:t>
      </w:r>
    </w:p>
    <w:p>
      <w:pPr>
        <w:ind w:firstLine="420"/>
        <w:rPr>
          <w:rFonts w:ascii="楷体" w:hAnsi="楷体" w:eastAsia="楷体"/>
          <w:b/>
          <w:sz w:val="32"/>
          <w:szCs w:val="32"/>
        </w:rPr>
      </w:pPr>
      <w:r>
        <w:rPr>
          <w:rFonts w:hint="eastAsia" w:ascii="楷体" w:hAnsi="楷体" w:eastAsia="楷体"/>
          <w:b/>
          <w:sz w:val="32"/>
          <w:szCs w:val="32"/>
        </w:rPr>
        <w:t>（四）2020年部门预算执行情况。</w:t>
      </w:r>
    </w:p>
    <w:p>
      <w:pPr>
        <w:ind w:firstLine="643" w:firstLineChars="200"/>
        <w:rPr>
          <w:rFonts w:ascii="仿宋_GB2312" w:eastAsia="仿宋_GB2312"/>
          <w:b/>
          <w:bCs/>
          <w:color w:val="000000"/>
          <w:kern w:val="0"/>
          <w:sz w:val="32"/>
          <w:szCs w:val="32"/>
        </w:rPr>
      </w:pPr>
      <w:r>
        <w:rPr>
          <w:rFonts w:ascii="仿宋_GB2312" w:eastAsia="仿宋_GB2312"/>
          <w:b/>
          <w:bCs/>
          <w:color w:val="000000"/>
          <w:kern w:val="0"/>
          <w:sz w:val="32"/>
          <w:szCs w:val="32"/>
        </w:rPr>
        <w:t>1.</w:t>
      </w:r>
      <w:r>
        <w:rPr>
          <w:rFonts w:hint="eastAsia" w:ascii="仿宋_GB2312" w:eastAsia="仿宋_GB2312"/>
          <w:b/>
          <w:bCs/>
          <w:color w:val="000000"/>
          <w:kern w:val="0"/>
          <w:sz w:val="32"/>
          <w:szCs w:val="32"/>
        </w:rPr>
        <w:t>资金管理</w:t>
      </w:r>
    </w:p>
    <w:p>
      <w:pPr>
        <w:ind w:firstLine="643"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w:t>
      </w:r>
      <w:r>
        <w:rPr>
          <w:rFonts w:ascii="仿宋_GB2312" w:eastAsia="仿宋_GB2312"/>
          <w:b/>
          <w:bCs/>
          <w:color w:val="000000"/>
          <w:kern w:val="0"/>
          <w:sz w:val="32"/>
          <w:szCs w:val="32"/>
        </w:rPr>
        <w:t>1</w:t>
      </w:r>
      <w:r>
        <w:rPr>
          <w:rFonts w:hint="eastAsia" w:ascii="仿宋_GB2312" w:eastAsia="仿宋_GB2312"/>
          <w:b/>
          <w:bCs/>
          <w:color w:val="000000"/>
          <w:kern w:val="0"/>
          <w:sz w:val="32"/>
          <w:szCs w:val="32"/>
        </w:rPr>
        <w:t>）资金预算、支出及结余结转情况</w:t>
      </w:r>
    </w:p>
    <w:p>
      <w:pPr>
        <w:ind w:firstLine="640" w:firstLineChars="200"/>
        <w:rPr>
          <w:rFonts w:ascii="仿宋_GB2312" w:hAnsi="黑体" w:eastAsia="仿宋_GB2312"/>
          <w:sz w:val="32"/>
          <w:szCs w:val="32"/>
        </w:rPr>
      </w:pPr>
      <w:bookmarkStart w:id="0" w:name="_Hlk50046743"/>
      <w:r>
        <w:rPr>
          <w:rFonts w:hint="eastAsia" w:ascii="仿宋_GB2312" w:hAnsi="黑体" w:eastAsia="仿宋_GB2312"/>
          <w:sz w:val="32"/>
          <w:szCs w:val="32"/>
        </w:rPr>
        <w:t>2020年我园全年总收入为775.55万元，其中：一般公共预算财政拨款收入775.5万元, 政府性基金预算财政拨款收入0万元,其他收入0.05万元。年初结转和结余0万元。全年决算支出775.5万元，其中基本支出0万元，项目支出775.5万元，年末结转和结余0.5万元。</w:t>
      </w:r>
      <w:bookmarkEnd w:id="0"/>
    </w:p>
    <w:p>
      <w:pPr>
        <w:ind w:firstLine="643"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w:t>
      </w:r>
      <w:r>
        <w:rPr>
          <w:rFonts w:ascii="仿宋_GB2312" w:eastAsia="仿宋_GB2312"/>
          <w:b/>
          <w:bCs/>
          <w:color w:val="000000"/>
          <w:kern w:val="0"/>
          <w:sz w:val="32"/>
          <w:szCs w:val="32"/>
        </w:rPr>
        <w:t>2</w:t>
      </w:r>
      <w:r>
        <w:rPr>
          <w:rFonts w:hint="eastAsia" w:ascii="仿宋_GB2312" w:eastAsia="仿宋_GB2312"/>
          <w:b/>
          <w:bCs/>
          <w:color w:val="000000"/>
          <w:kern w:val="0"/>
          <w:sz w:val="32"/>
          <w:szCs w:val="32"/>
        </w:rPr>
        <w:t>）政府采购执行情况</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我园采购管理严格按照</w:t>
      </w:r>
      <w:r>
        <w:rPr>
          <w:rFonts w:hint="eastAsia" w:ascii="仿宋_GB2312" w:eastAsia="仿宋_GB2312"/>
          <w:color w:val="000000"/>
          <w:kern w:val="0"/>
          <w:sz w:val="32"/>
          <w:szCs w:val="32"/>
          <w:lang w:val="en-US" w:eastAsia="zh-CN"/>
        </w:rPr>
        <w:t>新区</w:t>
      </w:r>
      <w:r>
        <w:rPr>
          <w:rFonts w:hint="eastAsia" w:ascii="仿宋_GB2312" w:eastAsia="仿宋_GB2312"/>
          <w:color w:val="000000"/>
          <w:kern w:val="0"/>
          <w:sz w:val="32"/>
          <w:szCs w:val="32"/>
          <w:lang w:val="en-US" w:eastAsia="zh-Hans"/>
        </w:rPr>
        <w:t>发展和财政局</w:t>
      </w:r>
      <w:r>
        <w:rPr>
          <w:rFonts w:hint="eastAsia" w:ascii="仿宋_GB2312" w:eastAsia="仿宋_GB2312"/>
          <w:color w:val="000000"/>
          <w:kern w:val="0"/>
          <w:sz w:val="32"/>
          <w:szCs w:val="32"/>
        </w:rPr>
        <w:t>、</w:t>
      </w:r>
      <w:r>
        <w:rPr>
          <w:rFonts w:hint="eastAsia" w:ascii="仿宋_GB2312" w:eastAsia="仿宋_GB2312"/>
          <w:color w:val="000000"/>
          <w:kern w:val="0"/>
          <w:sz w:val="32"/>
          <w:szCs w:val="32"/>
          <w:lang w:eastAsia="zh-CN"/>
        </w:rPr>
        <w:t>新区教育</w:t>
      </w:r>
      <w:r>
        <w:rPr>
          <w:rFonts w:hint="eastAsia" w:ascii="仿宋_GB2312" w:eastAsia="仿宋_GB2312"/>
          <w:color w:val="000000"/>
          <w:kern w:val="0"/>
          <w:sz w:val="32"/>
          <w:szCs w:val="32"/>
        </w:rPr>
        <w:t>和卫</w:t>
      </w:r>
      <w:r>
        <w:rPr>
          <w:rFonts w:hint="eastAsia" w:ascii="仿宋_GB2312" w:eastAsia="仿宋_GB2312"/>
          <w:color w:val="000000"/>
          <w:kern w:val="0"/>
          <w:sz w:val="32"/>
          <w:szCs w:val="32"/>
          <w:lang w:val="en-US" w:eastAsia="zh-CN"/>
        </w:rPr>
        <w:t>生健康</w:t>
      </w:r>
      <w:r>
        <w:rPr>
          <w:rFonts w:hint="eastAsia" w:ascii="仿宋_GB2312" w:eastAsia="仿宋_GB2312"/>
          <w:color w:val="000000"/>
          <w:kern w:val="0"/>
          <w:sz w:val="32"/>
          <w:szCs w:val="32"/>
        </w:rPr>
        <w:t>局等外部规章制度及幼儿园内部管理要求实施政府采购，提高政府采购效率，促进廉政建设，政府采购政策的执行和落实情况良好。</w:t>
      </w:r>
      <w:r>
        <w:rPr>
          <w:rFonts w:ascii="仿宋_GB2312" w:eastAsia="仿宋_GB2312"/>
          <w:color w:val="000000"/>
          <w:kern w:val="0"/>
          <w:sz w:val="32"/>
          <w:szCs w:val="32"/>
        </w:rPr>
        <w:t>2020</w:t>
      </w:r>
      <w:r>
        <w:rPr>
          <w:rFonts w:hint="eastAsia" w:ascii="仿宋_GB2312" w:eastAsia="仿宋_GB2312"/>
          <w:color w:val="000000"/>
          <w:kern w:val="0"/>
          <w:sz w:val="32"/>
          <w:szCs w:val="32"/>
        </w:rPr>
        <w:t>年政府采购执行情况如下：</w:t>
      </w:r>
    </w:p>
    <w:p>
      <w:pPr>
        <w:ind w:firstLine="640" w:firstLineChars="200"/>
        <w:rPr>
          <w:rFonts w:ascii="仿宋_GB2312" w:eastAsia="仿宋_GB2312"/>
          <w:color w:val="000000"/>
          <w:kern w:val="0"/>
          <w:sz w:val="32"/>
          <w:szCs w:val="32"/>
        </w:rPr>
      </w:pPr>
      <w:r>
        <w:rPr>
          <w:rFonts w:ascii="仿宋_GB2312" w:eastAsia="仿宋_GB2312"/>
          <w:color w:val="000000"/>
          <w:kern w:val="0"/>
          <w:sz w:val="32"/>
          <w:szCs w:val="32"/>
        </w:rPr>
        <w:t>2020</w:t>
      </w:r>
      <w:r>
        <w:rPr>
          <w:rFonts w:hint="eastAsia" w:ascii="仿宋_GB2312" w:eastAsia="仿宋_GB2312"/>
          <w:color w:val="000000"/>
          <w:kern w:val="0"/>
          <w:sz w:val="32"/>
          <w:szCs w:val="32"/>
        </w:rPr>
        <w:t>年度政府采购计划金额0万元，实际采购支出金额0万元。</w:t>
      </w:r>
    </w:p>
    <w:p>
      <w:pPr>
        <w:ind w:firstLine="643"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w:t>
      </w:r>
      <w:r>
        <w:rPr>
          <w:rFonts w:ascii="仿宋_GB2312" w:eastAsia="仿宋_GB2312"/>
          <w:b/>
          <w:bCs/>
          <w:color w:val="000000"/>
          <w:kern w:val="0"/>
          <w:sz w:val="32"/>
          <w:szCs w:val="32"/>
        </w:rPr>
        <w:t>3</w:t>
      </w:r>
      <w:r>
        <w:rPr>
          <w:rFonts w:hint="eastAsia" w:ascii="仿宋_GB2312" w:eastAsia="仿宋_GB2312"/>
          <w:b/>
          <w:bCs/>
          <w:color w:val="000000"/>
          <w:kern w:val="0"/>
          <w:sz w:val="32"/>
          <w:szCs w:val="32"/>
        </w:rPr>
        <w:t>）财务合规性</w:t>
      </w:r>
    </w:p>
    <w:p>
      <w:pPr>
        <w:ind w:firstLine="640" w:firstLineChars="200"/>
        <w:rPr>
          <w:rFonts w:ascii="仿宋_GB2312" w:eastAsia="仿宋_GB2312"/>
          <w:kern w:val="0"/>
          <w:sz w:val="32"/>
          <w:szCs w:val="32"/>
        </w:rPr>
      </w:pPr>
      <w:r>
        <w:rPr>
          <w:rFonts w:hint="eastAsia" w:ascii="仿宋_GB2312" w:eastAsia="仿宋_GB2312"/>
          <w:kern w:val="0"/>
          <w:sz w:val="32"/>
          <w:szCs w:val="32"/>
        </w:rPr>
        <w:t>结合我园内部管理要求及本次绩效自评工作业务自查，我园资金支出规范，资金管理、费用标准、支付严格按照预算批复、业务需求及相关财务制度规定执行，无超范围、超标准支出，不存在截留、挤占、挪用项目资金情况。预算执行规范，按规定履行预算调整报批手续，我园预算调整调剂严格按照规定的程序和审批权限报预算管理员及财政部门审批的情况。会计核算制度执行规范，不存在支出依据不合规、虚列项目支出的情况，重大项目支出经过前期评估论证，未出现超预算、无预算支出，或擅自改变预算支出用途和</w:t>
      </w:r>
      <w:r>
        <w:rPr>
          <w:rFonts w:hint="eastAsia" w:ascii="仿宋_GB2312" w:eastAsia="仿宋_GB2312"/>
          <w:kern w:val="0"/>
          <w:sz w:val="32"/>
          <w:szCs w:val="32"/>
          <w:lang w:val="en-US" w:eastAsia="zh-CN"/>
        </w:rPr>
        <w:t>经</w:t>
      </w:r>
      <w:r>
        <w:rPr>
          <w:rFonts w:hint="eastAsia" w:ascii="仿宋_GB2312" w:eastAsia="仿宋_GB2312"/>
          <w:kern w:val="0"/>
          <w:sz w:val="32"/>
          <w:szCs w:val="32"/>
        </w:rPr>
        <w:t>我园领导班子会议研究决定</w:t>
      </w:r>
      <w:r>
        <w:rPr>
          <w:rFonts w:hint="eastAsia" w:ascii="仿宋_GB2312" w:eastAsia="仿宋_GB2312"/>
          <w:kern w:val="0"/>
          <w:sz w:val="32"/>
          <w:szCs w:val="32"/>
          <w:lang w:val="en-US" w:eastAsia="zh-CN"/>
        </w:rPr>
        <w:t>事项</w:t>
      </w:r>
      <w:r>
        <w:rPr>
          <w:rFonts w:hint="eastAsia" w:ascii="仿宋_GB2312" w:eastAsia="仿宋_GB2312"/>
          <w:kern w:val="0"/>
          <w:sz w:val="32"/>
          <w:szCs w:val="32"/>
        </w:rPr>
        <w:t>。</w:t>
      </w:r>
    </w:p>
    <w:p>
      <w:pPr>
        <w:ind w:firstLine="643"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lang w:val="en-US" w:eastAsia="zh-CN"/>
        </w:rPr>
        <w:t>2</w:t>
      </w:r>
      <w:r>
        <w:rPr>
          <w:rFonts w:ascii="仿宋_GB2312" w:eastAsia="仿宋_GB2312"/>
          <w:b/>
          <w:bCs/>
          <w:color w:val="000000"/>
          <w:kern w:val="0"/>
          <w:sz w:val="32"/>
          <w:szCs w:val="32"/>
        </w:rPr>
        <w:t>.</w:t>
      </w:r>
      <w:r>
        <w:rPr>
          <w:rFonts w:hint="eastAsia" w:ascii="仿宋_GB2312" w:eastAsia="仿宋_GB2312"/>
          <w:b/>
          <w:bCs/>
          <w:color w:val="000000"/>
          <w:kern w:val="0"/>
          <w:sz w:val="32"/>
          <w:szCs w:val="32"/>
        </w:rPr>
        <w:t>预决算信息公开</w:t>
      </w:r>
    </w:p>
    <w:p>
      <w:pPr>
        <w:ind w:firstLine="640" w:firstLineChars="200"/>
        <w:rPr>
          <w:rFonts w:ascii="仿宋_GB2312" w:eastAsia="仿宋_GB2312"/>
          <w:bCs/>
          <w:color w:val="000000"/>
          <w:kern w:val="0"/>
          <w:sz w:val="32"/>
          <w:szCs w:val="32"/>
        </w:rPr>
      </w:pPr>
      <w:r>
        <w:rPr>
          <w:rFonts w:hint="eastAsia" w:ascii="仿宋_GB2312" w:eastAsia="仿宋_GB2312"/>
          <w:kern w:val="0"/>
          <w:sz w:val="32"/>
          <w:szCs w:val="32"/>
        </w:rPr>
        <w:t>根据新区教育和卫生健康局关于预算公开要求，“新区教育和卫生健康局将汇总本部门及所属各单位的预算，按有关要求在“大鹏新区政府在线”门户网站进行公开，故我园预决算数据由新区教育和卫生健康局汇总后统一进行公开公示。我园于2020年成立，未编制2020年部门预算，无需公示2020年部门预算。我园严格按照财政要求，按时按质按量完成了2020年决算编报，2020年部门决算数据将根据新区发展和财政局、新区教育和卫生健康局相关规定进行公开公示。</w:t>
      </w:r>
    </w:p>
    <w:p>
      <w:pPr>
        <w:ind w:firstLine="643"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lang w:val="en-US" w:eastAsia="zh-CN"/>
        </w:rPr>
        <w:t>3</w:t>
      </w:r>
      <w:r>
        <w:rPr>
          <w:rFonts w:ascii="仿宋_GB2312" w:eastAsia="仿宋_GB2312"/>
          <w:b/>
          <w:bCs/>
          <w:color w:val="000000"/>
          <w:kern w:val="0"/>
          <w:sz w:val="32"/>
          <w:szCs w:val="32"/>
        </w:rPr>
        <w:t>.</w:t>
      </w:r>
      <w:r>
        <w:rPr>
          <w:rFonts w:hint="eastAsia" w:ascii="仿宋_GB2312" w:eastAsia="仿宋_GB2312"/>
          <w:b/>
          <w:bCs/>
          <w:color w:val="000000"/>
          <w:kern w:val="0"/>
          <w:sz w:val="32"/>
          <w:szCs w:val="32"/>
        </w:rPr>
        <w:t>项目管理</w:t>
      </w:r>
    </w:p>
    <w:p>
      <w:pPr>
        <w:ind w:firstLine="640" w:firstLineChars="200"/>
        <w:rPr>
          <w:rFonts w:ascii="仿宋_GB2312" w:eastAsia="仿宋_GB2312"/>
          <w:kern w:val="0"/>
          <w:sz w:val="32"/>
          <w:szCs w:val="32"/>
        </w:rPr>
      </w:pPr>
      <w:r>
        <w:rPr>
          <w:rFonts w:hint="eastAsia" w:ascii="仿宋_GB2312" w:eastAsia="仿宋_GB2312"/>
          <w:kern w:val="0"/>
          <w:sz w:val="32"/>
          <w:szCs w:val="32"/>
        </w:rPr>
        <w:t>2020年我园预算项目包括“幼儿园发展经费”、“ 运行经费”和“开办费”等项目支出，全年预算金额共计775.5万元，我园对以上项目全部纳入预算绩效管理，设置并编报绩效目标。2020年我园项目实际支出共计775.5万元,我园将根据有关规定和工作安排，根据补充完善的项目支出绩效目标，结合2020年我园预算项目执行情况，认真收集评价基础数据和资料，对所有项目开展支出绩效自评工作。</w:t>
      </w:r>
    </w:p>
    <w:p>
      <w:pPr>
        <w:ind w:firstLine="640" w:firstLineChars="200"/>
        <w:rPr>
          <w:rFonts w:ascii="仿宋_GB2312" w:eastAsia="仿宋_GB2312"/>
          <w:color w:val="000000"/>
          <w:kern w:val="0"/>
          <w:sz w:val="32"/>
          <w:szCs w:val="32"/>
        </w:rPr>
      </w:pPr>
      <w:r>
        <w:rPr>
          <w:rFonts w:hint="eastAsia" w:ascii="仿宋_GB2312" w:eastAsia="仿宋_GB2312"/>
          <w:kern w:val="0"/>
          <w:sz w:val="32"/>
          <w:szCs w:val="32"/>
        </w:rPr>
        <w:t>我园项目支出预算的安排与单位履职相符合，财政资金保障充足有效。项目的设立按规定履行报批程序，申报、批复程序符合相关管理办法，项目的招投标、项目支出、调整及完成验收等规范，项目验收均按规定履行相应手续。项目资金支出监管按我园财务管理规定在会计核算方面进行严格的审核支付管理，每月进行预算执行分析，年中执行预算绩效运行监控，对项目资金使用及绩效目标实现程度实行“双监控”，重点关注执行进度偏慢及绩效目标偏离较大的项目，督促项目负责人采取改进措施，同时常态化对项目进</w:t>
      </w:r>
      <w:r>
        <w:rPr>
          <w:rFonts w:hint="eastAsia" w:ascii="仿宋_GB2312" w:eastAsia="仿宋_GB2312"/>
          <w:color w:val="000000"/>
          <w:kern w:val="0"/>
          <w:sz w:val="32"/>
          <w:szCs w:val="32"/>
        </w:rPr>
        <w:t>行专项或抽样性检查，及时监控发现问题马上督促整改，项目支出建立了有效的预算资金管理机制且执行情况良好。</w:t>
      </w:r>
    </w:p>
    <w:p>
      <w:pPr>
        <w:ind w:firstLine="643"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lang w:val="en-US" w:eastAsia="zh-CN"/>
        </w:rPr>
        <w:t>4</w:t>
      </w:r>
      <w:r>
        <w:rPr>
          <w:rFonts w:ascii="仿宋_GB2312" w:eastAsia="仿宋_GB2312"/>
          <w:b/>
          <w:bCs/>
          <w:color w:val="000000"/>
          <w:kern w:val="0"/>
          <w:sz w:val="32"/>
          <w:szCs w:val="32"/>
        </w:rPr>
        <w:t>.</w:t>
      </w:r>
      <w:r>
        <w:rPr>
          <w:rFonts w:hint="eastAsia" w:ascii="仿宋_GB2312" w:eastAsia="仿宋_GB2312"/>
          <w:b/>
          <w:bCs/>
          <w:color w:val="000000"/>
          <w:kern w:val="0"/>
          <w:sz w:val="32"/>
          <w:szCs w:val="32"/>
        </w:rPr>
        <w:t>资产管理</w:t>
      </w:r>
    </w:p>
    <w:p>
      <w:pPr>
        <w:ind w:firstLine="640" w:firstLineChars="200"/>
        <w:rPr>
          <w:rFonts w:ascii="华文仿宋" w:hAnsi="华文仿宋" w:eastAsia="华文仿宋" w:cs="华文仿宋"/>
          <w:kern w:val="0"/>
          <w:sz w:val="32"/>
          <w:szCs w:val="32"/>
        </w:rPr>
      </w:pPr>
      <w:r>
        <w:rPr>
          <w:rFonts w:hint="eastAsia" w:ascii="仿宋_GB2312" w:eastAsia="仿宋_GB2312"/>
          <w:color w:val="000000"/>
          <w:kern w:val="0"/>
          <w:sz w:val="32"/>
          <w:szCs w:val="32"/>
        </w:rPr>
        <w:t>我园2020年度总资产</w:t>
      </w:r>
      <w:r>
        <w:rPr>
          <w:rFonts w:ascii="仿宋_GB2312" w:eastAsia="仿宋_GB2312"/>
          <w:color w:val="000000"/>
          <w:kern w:val="0"/>
          <w:sz w:val="32"/>
          <w:szCs w:val="32"/>
        </w:rPr>
        <w:t>321.84</w:t>
      </w:r>
      <w:r>
        <w:rPr>
          <w:rFonts w:hint="eastAsia" w:ascii="仿宋_GB2312" w:eastAsia="仿宋_GB2312"/>
          <w:color w:val="000000"/>
          <w:kern w:val="0"/>
          <w:sz w:val="32"/>
          <w:szCs w:val="32"/>
        </w:rPr>
        <w:t>万元，其中：流动资产</w:t>
      </w:r>
      <w:r>
        <w:rPr>
          <w:rFonts w:ascii="仿宋_GB2312" w:eastAsia="仿宋_GB2312"/>
          <w:color w:val="000000"/>
          <w:kern w:val="0"/>
          <w:sz w:val="32"/>
          <w:szCs w:val="32"/>
        </w:rPr>
        <w:t>42.93</w:t>
      </w:r>
      <w:r>
        <w:rPr>
          <w:rFonts w:hint="eastAsia" w:ascii="仿宋_GB2312" w:eastAsia="仿宋_GB2312"/>
          <w:color w:val="000000"/>
          <w:kern w:val="0"/>
          <w:sz w:val="32"/>
          <w:szCs w:val="32"/>
        </w:rPr>
        <w:t>万元，非流动资产</w:t>
      </w:r>
      <w:r>
        <w:rPr>
          <w:rFonts w:ascii="仿宋_GB2312" w:eastAsia="仿宋_GB2312"/>
          <w:color w:val="000000"/>
          <w:kern w:val="0"/>
          <w:sz w:val="32"/>
          <w:szCs w:val="32"/>
        </w:rPr>
        <w:t>278.91</w:t>
      </w:r>
      <w:r>
        <w:rPr>
          <w:rFonts w:hint="eastAsia" w:ascii="仿宋_GB2312" w:eastAsia="仿宋_GB2312"/>
          <w:color w:val="000000"/>
          <w:kern w:val="0"/>
          <w:sz w:val="32"/>
          <w:szCs w:val="32"/>
        </w:rPr>
        <w:t>万元。我园作为财政补助事业单位，所有固定资产都是国家财产的组成部分，是保证完成幼儿园保教保育及其他各项工作的物质保障。为加强我园财产管理，明确经济责任，保证资产的安全完整、账账相符和账实相符，防止固定资产流失，根据有关财经法规，结合我园实际，建立健全资产管理制度。另外，我园严格按照财政部门制定的资产配置标准合理编制资产配置预算，对没有规定资产配置标准的，坚持厉行节约、从严控制的原则，对于预算配置内的资产，按照规定进行资产登记。对于报损资产严格执行国有资产处置制度，履行审批手续，规范处置行为，防止国有资产流失。为防止国有资产流失，我园制定了详细的资产管理办法，对各类不同资产，均配有资产专管员，资产购置、管理和处置均由资产专管员按照规定进行申报，定期盘点，集中处置，确保资产，账账相符、账实相符。同时，我园坚持每年开展一次全面的资产清查盘点，通过清产核资，全面摸清幼儿园的财产家底及结构状况，及时更新资产管理信息系统的资产数据，实行资产的动态管理，并在此基础上做好国有资产统计、信息报告和固定资产标签管理工作，进一步加强我园资产管理的科学化、精细化水平。通过以上举措，有效保障了我园资产的安全完整，切实盘活了存量资产，提高了资产效率，固定资产总体使用率达95%以上。</w:t>
      </w:r>
    </w:p>
    <w:p>
      <w:pPr>
        <w:ind w:firstLine="643"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lang w:val="en-US" w:eastAsia="zh-CN"/>
        </w:rPr>
        <w:t>5</w:t>
      </w:r>
      <w:r>
        <w:rPr>
          <w:rFonts w:hint="eastAsia" w:ascii="仿宋_GB2312" w:eastAsia="仿宋_GB2312"/>
          <w:b/>
          <w:bCs/>
          <w:color w:val="000000"/>
          <w:kern w:val="0"/>
          <w:sz w:val="32"/>
          <w:szCs w:val="32"/>
        </w:rPr>
        <w:t>.人员管理</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我园无核定编制人员。截至2020年12月31日，我园其他人员38人。在人员管理方面，我园严格按照人事制度执行，2020年度全校教职工考核均达到标准。</w:t>
      </w:r>
    </w:p>
    <w:p>
      <w:pPr>
        <w:ind w:firstLine="643"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lang w:val="en-US" w:eastAsia="zh-CN"/>
        </w:rPr>
        <w:t>6</w:t>
      </w:r>
      <w:r>
        <w:rPr>
          <w:rFonts w:hint="eastAsia" w:ascii="仿宋_GB2312" w:eastAsia="仿宋_GB2312"/>
          <w:b/>
          <w:bCs/>
          <w:color w:val="000000"/>
          <w:kern w:val="0"/>
          <w:sz w:val="32"/>
          <w:szCs w:val="32"/>
        </w:rPr>
        <w:t>.制度管理</w:t>
      </w:r>
    </w:p>
    <w:p>
      <w:pPr>
        <w:ind w:firstLine="640" w:firstLineChars="200"/>
        <w:rPr>
          <w:rFonts w:hint="eastAsia" w:ascii="仿宋_GB2312" w:eastAsia="仿宋_GB2312"/>
          <w:color w:val="000000"/>
          <w:kern w:val="0"/>
          <w:sz w:val="32"/>
          <w:szCs w:val="32"/>
        </w:rPr>
      </w:pPr>
      <w:r>
        <w:rPr>
          <w:rFonts w:hint="eastAsia" w:ascii="仿宋_GB2312" w:eastAsia="仿宋_GB2312"/>
          <w:color w:val="000000"/>
          <w:kern w:val="0"/>
          <w:sz w:val="32"/>
          <w:szCs w:val="32"/>
        </w:rPr>
        <w:t>我园在财政资金管理、内部财务管理、政府采购方面都建立了较为完善的内部控制制度。目前建立了《深圳市大鹏新区坝光新村幼儿园采购管理制度》《深圳市大鹏新区坝光新村幼儿园支出管理暂行办法》《深圳市大鹏新区坝光新村幼儿园合同管理办法》《深圳市大鹏新区坝光新村幼儿园预算管理暂行办法》《深圳市大鹏新区坝光新村幼儿园资产管理暂行办法》等一系列管理制度，基本涵盖预算管理、收支管理、政府采购管理、资产管理、工程项目管理、合同管理、会议管理等各部门基本业务活动，部门职能履行与预算执行得以保障。</w:t>
      </w:r>
    </w:p>
    <w:p>
      <w:pPr>
        <w:ind w:firstLine="627" w:firstLineChars="196"/>
        <w:rPr>
          <w:rFonts w:ascii="黑体" w:hAnsi="黑体" w:eastAsia="黑体"/>
          <w:sz w:val="32"/>
          <w:szCs w:val="32"/>
        </w:rPr>
      </w:pPr>
      <w:r>
        <w:rPr>
          <w:rFonts w:hint="eastAsia" w:ascii="黑体" w:hAnsi="黑体" w:eastAsia="黑体"/>
          <w:sz w:val="32"/>
          <w:szCs w:val="32"/>
        </w:rPr>
        <w:t>二、部门（单位）主要履职绩效分析</w:t>
      </w:r>
    </w:p>
    <w:p>
      <w:pPr>
        <w:ind w:firstLine="643" w:firstLineChars="200"/>
        <w:rPr>
          <w:rFonts w:ascii="楷体" w:hAnsi="楷体" w:eastAsia="楷体"/>
          <w:b/>
          <w:bCs/>
          <w:sz w:val="32"/>
          <w:szCs w:val="32"/>
        </w:rPr>
      </w:pPr>
      <w:r>
        <w:rPr>
          <w:rFonts w:hint="eastAsia" w:ascii="楷体" w:hAnsi="楷体" w:eastAsia="楷体"/>
          <w:b/>
          <w:bCs/>
          <w:sz w:val="32"/>
          <w:szCs w:val="32"/>
        </w:rPr>
        <w:t>（一）主要履职目标</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面对全国持续的学前教育改革浪潮，我园坚持“办好学前教育、办有中国特色的好的学前教育”、“幼有善育、学有优教，办人民满意的教育”的历史使命，秉承“立德立行，至善至美”的初心，认真分析幼儿园的现状，以“仰望星空、脚踏实地”之匠心进行阶段性的战略部署，以期实现成为优质的幼儿园。</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1.完善办园条件建设，不断优化育人环境。</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2.健全规章制度建设，促进科学规范管理。我园是新开办的幼儿园，制度建设也是在一无所有的情况白手起家，我园需要在实践过程中逐步建立起财务制度 、工作质量奖惩制度、安全奖惩制度、工程项目管理制度、食品安全管理制度、卫生保健制度、重大问题议事规范、上班时间制度、岗位职责等</w:t>
      </w:r>
      <w:r>
        <w:rPr>
          <w:rFonts w:hint="eastAsia" w:ascii="仿宋_GB2312" w:eastAsia="仿宋_GB2312"/>
          <w:color w:val="000000"/>
          <w:kern w:val="0"/>
          <w:sz w:val="32"/>
          <w:szCs w:val="32"/>
          <w:lang w:val="en-US" w:eastAsia="zh-CN"/>
        </w:rPr>
        <w:t>相关规章制度</w:t>
      </w:r>
      <w:r>
        <w:rPr>
          <w:rFonts w:hint="eastAsia" w:ascii="仿宋_GB2312" w:eastAsia="仿宋_GB2312"/>
          <w:color w:val="000000"/>
          <w:kern w:val="0"/>
          <w:sz w:val="32"/>
          <w:szCs w:val="32"/>
        </w:rPr>
        <w:t>。</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3.加强师德师风建设，提升教师职业标准。学高为师，德高为范，师德是教师最重要的素质，是教师之灵魂。我园将建设一支打造师德高尚、理念先进、业务精湛、结构合理的教师队伍作为一项事关全局的大事来抓，引导教师在教育教学的过程中，用高尚的品德、美好师魂去熏陶学生，用大爱无疆、关怀至备的师爱去感染学生。</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4.加强安全管理，增强安全意识。树立安全第一的思想，把安全工作放在我园工作的重中之重；成立安全工作领导小组，明确责任与分工；完善安全设备；完善安全管理制度，包括安全责任分解图、安全隐患排查制度、各岗位安全职责、门卫制度、各种演练方案及应急预案等。</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5</w:t>
      </w:r>
      <w:r>
        <w:rPr>
          <w:rFonts w:ascii="仿宋_GB2312" w:eastAsia="仿宋_GB2312"/>
          <w:color w:val="000000"/>
          <w:kern w:val="0"/>
          <w:sz w:val="32"/>
          <w:szCs w:val="32"/>
        </w:rPr>
        <w:t>.</w:t>
      </w:r>
      <w:r>
        <w:rPr>
          <w:rFonts w:hint="eastAsia" w:ascii="仿宋_GB2312" w:eastAsia="仿宋_GB2312"/>
          <w:color w:val="000000"/>
          <w:kern w:val="0"/>
          <w:sz w:val="32"/>
          <w:szCs w:val="32"/>
        </w:rPr>
        <w:t>做好后勤队伍的思想学习，提高服务水平。重视后勤人员的思想学习，提高服务意识；加强后勤管理，严格执行各种制度；做好幼儿园设施的检查、维护工作。</w:t>
      </w:r>
    </w:p>
    <w:p>
      <w:pPr>
        <w:ind w:firstLine="640" w:firstLineChars="200"/>
        <w:rPr>
          <w:rFonts w:ascii="仿宋_GB2312" w:eastAsia="仿宋_GB2312"/>
          <w:color w:val="000000"/>
          <w:kern w:val="0"/>
          <w:sz w:val="32"/>
          <w:szCs w:val="32"/>
        </w:rPr>
      </w:pPr>
      <w:r>
        <w:rPr>
          <w:rFonts w:ascii="仿宋_GB2312" w:eastAsia="仿宋_GB2312"/>
          <w:color w:val="000000"/>
          <w:kern w:val="0"/>
          <w:sz w:val="32"/>
          <w:szCs w:val="32"/>
        </w:rPr>
        <w:t>6.</w:t>
      </w:r>
      <w:r>
        <w:rPr>
          <w:rFonts w:hint="eastAsia" w:ascii="仿宋_GB2312" w:eastAsia="仿宋_GB2312"/>
          <w:color w:val="000000"/>
          <w:kern w:val="0"/>
          <w:sz w:val="32"/>
          <w:szCs w:val="32"/>
        </w:rPr>
        <w:t>密切家园沟通联系，实现家园共育双赢。成立园级家委会和班级家委会，建立家长学校、家长会、家长开放日、家访、约访等沟通形式，让家长进一步了解幼儿教育，提高育儿水平。</w:t>
      </w:r>
    </w:p>
    <w:p>
      <w:pPr>
        <w:ind w:firstLine="643" w:firstLineChars="200"/>
        <w:rPr>
          <w:rFonts w:ascii="楷体" w:hAnsi="楷体" w:eastAsia="楷体"/>
          <w:b/>
          <w:bCs/>
          <w:sz w:val="32"/>
          <w:szCs w:val="32"/>
        </w:rPr>
      </w:pPr>
      <w:r>
        <w:rPr>
          <w:rFonts w:hint="eastAsia" w:ascii="楷体" w:hAnsi="楷体" w:eastAsia="楷体"/>
          <w:b/>
          <w:bCs/>
          <w:sz w:val="32"/>
          <w:szCs w:val="32"/>
        </w:rPr>
        <w:t>（二）主要履职情况</w:t>
      </w:r>
    </w:p>
    <w:p>
      <w:pPr>
        <w:ind w:firstLine="480" w:firstLineChars="150"/>
        <w:rPr>
          <w:rFonts w:ascii="仿宋_GB2312" w:hAnsi="黑体" w:eastAsia="仿宋_GB2312"/>
          <w:sz w:val="32"/>
          <w:szCs w:val="32"/>
        </w:rPr>
      </w:pPr>
      <w:r>
        <w:rPr>
          <w:rFonts w:hint="eastAsia" w:ascii="仿宋_GB2312" w:hAnsi="黑体" w:eastAsia="仿宋_GB2312"/>
          <w:sz w:val="32"/>
          <w:szCs w:val="32"/>
        </w:rPr>
        <w:t>2020年，我园全体教职工在认真做好防疫工作的同时，不忘教育初心，奋力前行，各项工作在紧张又不失条理中正常开展并顺利完成。</w:t>
      </w:r>
    </w:p>
    <w:p>
      <w:pPr>
        <w:widowControl/>
        <w:ind w:firstLine="643" w:firstLineChars="200"/>
        <w:jc w:val="left"/>
        <w:rPr>
          <w:rFonts w:ascii="仿宋_GB2312" w:eastAsia="仿宋_GB2312"/>
          <w:b/>
          <w:sz w:val="32"/>
          <w:szCs w:val="32"/>
        </w:rPr>
      </w:pPr>
      <w:r>
        <w:rPr>
          <w:rFonts w:hint="eastAsia" w:ascii="仿宋_GB2312" w:eastAsia="仿宋_GB2312"/>
          <w:b/>
          <w:sz w:val="32"/>
          <w:szCs w:val="32"/>
        </w:rPr>
        <w:t>1.建立各项规章制度，实行目标管理</w:t>
      </w:r>
    </w:p>
    <w:p>
      <w:pPr>
        <w:ind w:firstLine="640" w:firstLineChars="200"/>
        <w:rPr>
          <w:rFonts w:ascii="仿宋_GB2312" w:eastAsia="仿宋_GB2312"/>
          <w:sz w:val="32"/>
          <w:szCs w:val="32"/>
        </w:rPr>
      </w:pPr>
      <w:r>
        <w:rPr>
          <w:rFonts w:hint="eastAsia" w:ascii="仿宋_GB2312" w:eastAsia="仿宋_GB2312"/>
          <w:sz w:val="32"/>
          <w:szCs w:val="32"/>
        </w:rPr>
        <w:t>（1）规章制度是幼儿园的“法”，是幼儿园为实现的目标，对幼儿园各项和对教职员工的要求加以系统化、条理化。本学期我园不断完善各项规章制度，如财务制度、工作质量奖惩制度、安全奖惩制度、请假制度、公章使用管理制度等等，通过制度推动工作规范化、提升教职工的积极性。</w:t>
      </w:r>
    </w:p>
    <w:p>
      <w:pPr>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幼儿园实行目标管理，提高教师的自觉性、有利于调动教职员工的积极性，实行自我管理与控制。目标管理的实施，是将目标层层分解逐级落实，有利于完善和巩固责任制，确保各项保质保量完成。首先在开学前由园领导与全体教职员工共同商议，提出幼儿园发展的战略目标和规划。其次将目标层层展开，建立组织目标与个人目标一致。最后围绕目标制定计划，使管理工作科学的向前推进，逐步实现幼儿园的目标。实施“以人为本”的人性管理模式。合理的分工，团结互助，让管理细致到位互相督促，发现问题及时沟通，及时协商解决，由此让工作目的明确，工作管理到位，从而提升工作效率。</w:t>
      </w:r>
    </w:p>
    <w:p>
      <w:pPr>
        <w:ind w:firstLine="643" w:firstLineChars="200"/>
        <w:rPr>
          <w:rFonts w:ascii="仿宋_GB2312" w:eastAsia="仿宋_GB2312"/>
          <w:b/>
          <w:sz w:val="32"/>
          <w:szCs w:val="32"/>
        </w:rPr>
      </w:pPr>
      <w:r>
        <w:rPr>
          <w:rFonts w:hint="eastAsia" w:ascii="仿宋_GB2312" w:eastAsia="仿宋_GB2312"/>
          <w:b/>
          <w:sz w:val="32"/>
          <w:szCs w:val="32"/>
        </w:rPr>
        <w:t>2.加强教学管理，促进保教质量提高</w:t>
      </w:r>
    </w:p>
    <w:p>
      <w:pPr>
        <w:ind w:firstLine="640" w:firstLineChars="200"/>
        <w:rPr>
          <w:rFonts w:ascii="仿宋_GB2312" w:eastAsia="仿宋_GB2312"/>
          <w:sz w:val="32"/>
          <w:szCs w:val="32"/>
        </w:rPr>
      </w:pPr>
      <w:r>
        <w:rPr>
          <w:rFonts w:hint="eastAsia" w:ascii="仿宋_GB2312" w:eastAsia="仿宋_GB2312"/>
          <w:sz w:val="32"/>
          <w:szCs w:val="32"/>
        </w:rPr>
        <w:t>（1）加强学习，让老师们在学习中感悟，提高教师的业务素质。</w:t>
      </w:r>
      <w:r>
        <w:rPr>
          <w:rFonts w:hint="eastAsia" w:ascii="仿宋_GB2312" w:eastAsia="仿宋_GB2312"/>
          <w:bCs/>
          <w:sz w:val="32"/>
          <w:szCs w:val="32"/>
        </w:rPr>
        <w:t>一是</w:t>
      </w:r>
      <w:r>
        <w:rPr>
          <w:rFonts w:hint="eastAsia" w:ascii="仿宋_GB2312" w:eastAsia="仿宋_GB2312"/>
          <w:sz w:val="32"/>
          <w:szCs w:val="32"/>
        </w:rPr>
        <w:t>加强教师的思想政治教育和职业道德教育，每周星期二下午为业务学习日，我们加强了教育理论学习，促使教师树立正确的教育观，明确方向，解放思想，转变观念，大胆创新。</w:t>
      </w:r>
      <w:r>
        <w:rPr>
          <w:rFonts w:hint="eastAsia" w:ascii="仿宋_GB2312" w:eastAsia="仿宋_GB2312"/>
          <w:bCs/>
          <w:sz w:val="32"/>
          <w:szCs w:val="32"/>
        </w:rPr>
        <w:t>二是</w:t>
      </w:r>
      <w:r>
        <w:rPr>
          <w:rFonts w:hint="eastAsia" w:ascii="仿宋_GB2312" w:hAnsi="仿宋_GB2312" w:eastAsia="仿宋_GB2312" w:cs="仿宋_GB2312"/>
          <w:sz w:val="32"/>
          <w:szCs w:val="32"/>
        </w:rPr>
        <w:t>拓展学习时间、内容空间，组织不同层次的业务学习。三是以“请进来走出去”的方式学习, “走出去”就是抓住每一次外出学习、观摩的机会,让教师走出去,“请进来”就是把教育专家请进园指导我们的工作，以此快速提高实践操作课程的能力。</w:t>
      </w:r>
    </w:p>
    <w:p>
      <w:pPr>
        <w:ind w:firstLine="640" w:firstLineChars="200"/>
        <w:rPr>
          <w:rFonts w:ascii="仿宋_GB2312" w:eastAsia="仿宋_GB2312"/>
          <w:sz w:val="32"/>
          <w:szCs w:val="32"/>
        </w:rPr>
      </w:pPr>
      <w:r>
        <w:rPr>
          <w:rFonts w:hint="eastAsia" w:ascii="仿宋_GB2312" w:eastAsia="仿宋_GB2312"/>
          <w:sz w:val="32"/>
          <w:szCs w:val="32"/>
        </w:rPr>
        <w:t>（2）加强教研力度，让老师们在实践中收获，努力提高教学质量。</w:t>
      </w:r>
    </w:p>
    <w:p>
      <w:pPr>
        <w:ind w:firstLine="640" w:firstLineChars="200"/>
        <w:rPr>
          <w:rFonts w:ascii="仿宋_GB2312" w:eastAsia="仿宋_GB2312"/>
          <w:sz w:val="32"/>
          <w:szCs w:val="32"/>
        </w:rPr>
      </w:pPr>
      <w:r>
        <w:rPr>
          <w:rFonts w:hint="eastAsia" w:ascii="仿宋_GB2312" w:eastAsia="仿宋_GB2312"/>
          <w:bCs/>
          <w:sz w:val="32"/>
          <w:szCs w:val="32"/>
        </w:rPr>
        <w:t>一是认真做好各类计划制订工作。依据《幼儿园教育纲要》、《幼儿园工作规程》，中的幼儿园教育目标，再结合本园的实际情况和教学特点，在活动整合课程的基础上，设置适合我园的园本课程作为补充。再根据我们设置的课程制定确立具体教育目标、幼儿发展目标</w:t>
      </w:r>
      <w:r>
        <w:rPr>
          <w:rFonts w:hint="eastAsia" w:ascii="仿宋_GB2312" w:eastAsia="仿宋_GB2312"/>
          <w:bCs/>
          <w:sz w:val="32"/>
          <w:szCs w:val="32"/>
          <w:lang w:eastAsia="zh-CN"/>
        </w:rPr>
        <w:t>，</w:t>
      </w:r>
      <w:r>
        <w:rPr>
          <w:rFonts w:hint="eastAsia" w:ascii="仿宋_GB2312" w:eastAsia="仿宋_GB2312"/>
          <w:bCs/>
          <w:sz w:val="32"/>
          <w:szCs w:val="32"/>
        </w:rPr>
        <w:t>以及各层次的目标，把目标落实到各类计划中去，再把计划分解到新提出的、预成的、和生成的主题教育活动中去。这样我们的计划就更趋科学、更趋系统、更趋完善。</w:t>
      </w:r>
    </w:p>
    <w:p>
      <w:pPr>
        <w:ind w:firstLine="640" w:firstLineChars="200"/>
        <w:rPr>
          <w:rFonts w:ascii="仿宋_GB2312" w:eastAsia="仿宋_GB2312"/>
          <w:sz w:val="32"/>
          <w:szCs w:val="32"/>
        </w:rPr>
      </w:pPr>
      <w:r>
        <w:rPr>
          <w:rFonts w:hint="eastAsia" w:ascii="仿宋_GB2312" w:eastAsia="仿宋_GB2312"/>
          <w:bCs/>
          <w:sz w:val="32"/>
          <w:szCs w:val="32"/>
        </w:rPr>
        <w:t>二是抓好集体备课，发挥团队作用。每个年级组每周一次的集中备课，鼓励老师们分析活动，挖掘资源，针对不明确的，有异议的地方，互相探讨、相互指导，改变教学策略;根据幼儿的不同发展水平，设计不同的教学形式。有效地解决一些实际问题，教育教学水平有大幅度提高。</w:t>
      </w:r>
    </w:p>
    <w:p>
      <w:pPr>
        <w:ind w:firstLine="640" w:firstLineChars="200"/>
        <w:rPr>
          <w:rFonts w:ascii="仿宋_GB2312" w:eastAsia="仿宋_GB2312"/>
          <w:sz w:val="32"/>
          <w:szCs w:val="32"/>
        </w:rPr>
      </w:pPr>
      <w:r>
        <w:rPr>
          <w:rFonts w:hint="eastAsia" w:ascii="仿宋_GB2312" w:eastAsia="仿宋_GB2312"/>
          <w:sz w:val="32"/>
          <w:szCs w:val="32"/>
        </w:rPr>
        <w:t>（3）提高家长工作质量，让家长转变教育观念，增强良好社会效应。</w:t>
      </w:r>
    </w:p>
    <w:p>
      <w:pPr>
        <w:ind w:firstLine="640" w:firstLineChars="200"/>
        <w:rPr>
          <w:rFonts w:ascii="仿宋_GB2312" w:eastAsia="仿宋_GB2312"/>
          <w:sz w:val="32"/>
          <w:szCs w:val="32"/>
        </w:rPr>
      </w:pPr>
      <w:r>
        <w:rPr>
          <w:rFonts w:hint="eastAsia" w:ascii="仿宋_GB2312" w:eastAsia="仿宋_GB2312"/>
          <w:sz w:val="32"/>
          <w:szCs w:val="32"/>
        </w:rPr>
        <w:t>我园通过各种方式开展家长工作，如新学期家长会、家长义工、家长开放日、元旦运动会、健康教育讲座、教学成果展示等活动，让家长了解幼儿园的教育形式与方法，向家长介绍、汇报孩子在幼儿园的成长过程及先进的育儿经验。大部分家长能在百忙中抽空前来参加，每次活动均受到了家长们的好评，并希望以后多举办类似活动。而且，通过家长学校活动也规范教师教学行为，强化幼儿一日生活常规，提高幼儿在园活动质量，赢得了家长的赞誉。</w:t>
      </w:r>
    </w:p>
    <w:p>
      <w:pPr>
        <w:ind w:right="23" w:rightChars="11"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3.扎实后勤管理，切实做好师生保障</w:t>
      </w:r>
    </w:p>
    <w:p>
      <w:pPr>
        <w:ind w:right="23" w:rightChars="11"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重视思想学习,提高服务意识。有计划地加强了对后勤人员的政治思想和业务的学习，定期召开后勤人员工作会议，在学习的同时认真对照各自的职责要求,总结和分析工作中的得失,肯定了后勤人员工作的进步和成绩,指出工作中存在的问题,提出改进的意见和方法。通过“实践研讨、案例分析、互相观摩”等活动形式,提高后勤服务质量。</w:t>
      </w:r>
    </w:p>
    <w:p>
      <w:pPr>
        <w:ind w:right="23" w:rightChars="11" w:firstLine="600"/>
        <w:rPr>
          <w:rFonts w:ascii="仿宋_GB2312" w:hAnsi="仿宋_GB2312" w:eastAsia="仿宋_GB2312" w:cs="仿宋_GB2312"/>
          <w:sz w:val="32"/>
          <w:szCs w:val="32"/>
        </w:rPr>
      </w:pPr>
      <w:r>
        <w:rPr>
          <w:rFonts w:hint="eastAsia" w:ascii="仿宋_GB2312" w:hAnsi="仿宋_GB2312" w:eastAsia="仿宋_GB2312" w:cs="仿宋_GB2312"/>
          <w:sz w:val="32"/>
          <w:szCs w:val="32"/>
        </w:rPr>
        <w:t>（2）严格落实晨午检制度，认真落实巡查制度，提升卫生保健工作质量。我园保健处每天进行卫生保洁、活动室消毒、餐具清洗和开窗通风等操作流程的巡视监管,全力保障疫情防控落到实处。</w:t>
      </w:r>
    </w:p>
    <w:p>
      <w:pPr>
        <w:ind w:right="23" w:rightChars="11" w:firstLine="600"/>
        <w:rPr>
          <w:rFonts w:ascii="仿宋_GB2312" w:hAnsi="仿宋_GB2312" w:eastAsia="仿宋_GB2312" w:cs="仿宋_GB2312"/>
          <w:sz w:val="32"/>
          <w:szCs w:val="32"/>
        </w:rPr>
      </w:pPr>
      <w:r>
        <w:rPr>
          <w:rFonts w:hint="eastAsia" w:ascii="仿宋_GB2312" w:hAnsi="仿宋_GB2312" w:eastAsia="仿宋_GB2312" w:cs="仿宋_GB2312"/>
          <w:bCs/>
          <w:sz w:val="32"/>
          <w:szCs w:val="32"/>
        </w:rPr>
        <w:t>（3）精打细算食堂管，严防死守食品安全。</w:t>
      </w:r>
      <w:r>
        <w:rPr>
          <w:rFonts w:hint="eastAsia" w:ascii="仿宋_GB2312" w:hAnsi="仿宋_GB2312" w:eastAsia="仿宋_GB2312" w:cs="仿宋_GB2312"/>
          <w:sz w:val="32"/>
          <w:szCs w:val="32"/>
        </w:rPr>
        <w:t>精打细算,合理使用，既要做到让孩子吃好,吃饱,有足够的营养，又要做到不浪费。每日抓好厨房食品来源的登记、验收,签好发票单,严把关口,以防有变质变味的食品入园，厨房的食品坚决杜绝“三无”产品进入园门。食品留样观察直至48小时以上,并贴上相应的标签。</w:t>
      </w:r>
    </w:p>
    <w:p>
      <w:pPr>
        <w:ind w:right="23" w:rightChars="11" w:firstLine="600"/>
        <w:rPr>
          <w:rFonts w:ascii="仿宋_GB2312" w:hAnsi="仿宋_GB2312" w:eastAsia="仿宋_GB2312" w:cs="仿宋_GB2312"/>
          <w:sz w:val="32"/>
          <w:szCs w:val="32"/>
        </w:rPr>
      </w:pPr>
      <w:r>
        <w:rPr>
          <w:rFonts w:hint="eastAsia" w:ascii="仿宋_GB2312" w:hAnsi="仿宋_GB2312" w:eastAsia="仿宋_GB2312" w:cs="仿宋_GB2312"/>
          <w:sz w:val="32"/>
          <w:szCs w:val="32"/>
        </w:rPr>
        <w:t>（4）加强财务财产管理。勤俭办园，物尽其用，财尽其效，做好了资产清点工作。加强财务管理，严格按照收费标准进行收费,并在网站、公示栏等及时发布幼儿园收费标准，做到公开、公示。维修保养及时高效，减少物品的损耗。</w:t>
      </w:r>
    </w:p>
    <w:p>
      <w:pPr>
        <w:ind w:right="23" w:rightChars="11"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4. 安全防范无小事，疫情防控是重点</w:t>
      </w:r>
    </w:p>
    <w:p>
      <w:pPr>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在疫情防控的特殊时期，安全工作尤为重要，我园严格把好几个安全关口：入园离园关、晨午检关、食品安全关、卫生消毒关等，做到专人负责专人指导专人监督，确保师幼在园安全。并开展了</w:t>
      </w:r>
      <w:r>
        <w:rPr>
          <w:rFonts w:hint="eastAsia" w:ascii="仿宋_GB2312" w:eastAsia="仿宋_GB2312"/>
          <w:sz w:val="32"/>
          <w:szCs w:val="32"/>
        </w:rPr>
        <w:t>开展防震、防火应急疏散演练活动，提高师生逃生能力。</w:t>
      </w:r>
    </w:p>
    <w:p>
      <w:pPr>
        <w:ind w:firstLine="482" w:firstLineChars="150"/>
        <w:rPr>
          <w:rFonts w:ascii="楷体" w:hAnsi="楷体" w:eastAsia="楷体"/>
          <w:b/>
          <w:bCs/>
          <w:sz w:val="32"/>
          <w:szCs w:val="32"/>
        </w:rPr>
      </w:pPr>
      <w:r>
        <w:rPr>
          <w:rFonts w:hint="eastAsia" w:ascii="楷体" w:hAnsi="楷体" w:eastAsia="楷体"/>
          <w:b/>
          <w:bCs/>
          <w:sz w:val="32"/>
          <w:szCs w:val="32"/>
        </w:rPr>
        <w:t>（三）部门履职绩效情况。</w:t>
      </w:r>
    </w:p>
    <w:p>
      <w:pPr>
        <w:ind w:firstLine="803" w:firstLineChars="250"/>
        <w:rPr>
          <w:rFonts w:ascii="仿宋_GB2312" w:hAnsi="仿宋" w:eastAsia="仿宋_GB2312"/>
          <w:b/>
          <w:sz w:val="32"/>
          <w:szCs w:val="32"/>
        </w:rPr>
      </w:pPr>
      <w:r>
        <w:rPr>
          <w:rFonts w:ascii="仿宋_GB2312" w:hAnsi="仿宋" w:eastAsia="仿宋_GB2312"/>
          <w:b/>
          <w:sz w:val="32"/>
          <w:szCs w:val="32"/>
        </w:rPr>
        <w:t xml:space="preserve">1. </w:t>
      </w:r>
      <w:r>
        <w:rPr>
          <w:rFonts w:hint="eastAsia" w:ascii="仿宋_GB2312" w:hAnsi="仿宋" w:eastAsia="仿宋_GB2312"/>
          <w:b/>
          <w:sz w:val="32"/>
          <w:szCs w:val="32"/>
        </w:rPr>
        <w:t>经济性</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w:t>
      </w:r>
      <w:r>
        <w:rPr>
          <w:rFonts w:ascii="仿宋_GB2312" w:hAnsi="仿宋" w:eastAsia="仿宋_GB2312"/>
          <w:bCs/>
          <w:sz w:val="32"/>
          <w:szCs w:val="32"/>
        </w:rPr>
        <w:t>1</w:t>
      </w:r>
      <w:r>
        <w:rPr>
          <w:rFonts w:hint="eastAsia" w:ascii="仿宋_GB2312" w:hAnsi="仿宋" w:eastAsia="仿宋_GB2312"/>
          <w:bCs/>
          <w:sz w:val="32"/>
          <w:szCs w:val="32"/>
        </w:rPr>
        <w:t>）“三公”经费控制率</w:t>
      </w:r>
    </w:p>
    <w:p>
      <w:pPr>
        <w:snapToGrid w:val="0"/>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2020年度我园无</w:t>
      </w:r>
      <w:r>
        <w:rPr>
          <w:rFonts w:hint="eastAsia" w:ascii="仿宋_GB2312" w:hAnsi="仿宋" w:eastAsia="仿宋_GB2312"/>
          <w:bCs/>
          <w:sz w:val="32"/>
          <w:szCs w:val="32"/>
        </w:rPr>
        <w:t>“三公”</w:t>
      </w:r>
      <w:r>
        <w:rPr>
          <w:rFonts w:hint="eastAsia" w:ascii="仿宋_GB2312" w:hAnsi="仿宋" w:eastAsia="仿宋_GB2312"/>
          <w:color w:val="000000"/>
          <w:sz w:val="32"/>
          <w:szCs w:val="32"/>
        </w:rPr>
        <w:t>经费预算，全年也无</w:t>
      </w:r>
      <w:r>
        <w:rPr>
          <w:rFonts w:hint="eastAsia" w:ascii="仿宋_GB2312" w:hAnsi="仿宋" w:eastAsia="仿宋_GB2312"/>
          <w:bCs/>
          <w:sz w:val="32"/>
          <w:szCs w:val="32"/>
        </w:rPr>
        <w:t>“三公”</w:t>
      </w:r>
      <w:r>
        <w:rPr>
          <w:rFonts w:hint="eastAsia" w:ascii="仿宋_GB2312" w:hAnsi="仿宋" w:eastAsia="仿宋_GB2312"/>
          <w:color w:val="000000"/>
          <w:sz w:val="32"/>
          <w:szCs w:val="32"/>
        </w:rPr>
        <w:t>经费支出。</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w:t>
      </w:r>
      <w:r>
        <w:rPr>
          <w:rFonts w:ascii="仿宋_GB2312" w:hAnsi="仿宋" w:eastAsia="仿宋_GB2312"/>
          <w:bCs/>
          <w:sz w:val="32"/>
          <w:szCs w:val="32"/>
        </w:rPr>
        <w:t>2</w:t>
      </w:r>
      <w:r>
        <w:rPr>
          <w:rFonts w:hint="eastAsia" w:ascii="仿宋_GB2312" w:hAnsi="仿宋" w:eastAsia="仿宋_GB2312"/>
          <w:bCs/>
          <w:sz w:val="32"/>
          <w:szCs w:val="32"/>
        </w:rPr>
        <w:t>）日常公用经费控制率</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我园</w:t>
      </w:r>
      <w:r>
        <w:rPr>
          <w:rFonts w:ascii="仿宋_GB2312" w:hAnsi="仿宋" w:eastAsia="仿宋_GB2312"/>
          <w:bCs/>
          <w:sz w:val="32"/>
          <w:szCs w:val="32"/>
        </w:rPr>
        <w:t>2020</w:t>
      </w:r>
      <w:r>
        <w:rPr>
          <w:rFonts w:hint="eastAsia" w:ascii="仿宋_GB2312" w:hAnsi="仿宋" w:eastAsia="仿宋_GB2312"/>
          <w:bCs/>
          <w:sz w:val="32"/>
          <w:szCs w:val="32"/>
        </w:rPr>
        <w:t>年日常公用经费预算数为</w:t>
      </w:r>
      <w:r>
        <w:rPr>
          <w:rFonts w:ascii="仿宋_GB2312" w:hAnsi="仿宋" w:eastAsia="仿宋_GB2312"/>
          <w:bCs/>
          <w:sz w:val="32"/>
          <w:szCs w:val="32"/>
        </w:rPr>
        <w:t>0</w:t>
      </w:r>
      <w:r>
        <w:rPr>
          <w:rFonts w:hint="eastAsia" w:ascii="仿宋_GB2312" w:hAnsi="仿宋" w:eastAsia="仿宋_GB2312"/>
          <w:bCs/>
          <w:sz w:val="32"/>
          <w:szCs w:val="32"/>
        </w:rPr>
        <w:t>万元,调整预算数为</w:t>
      </w:r>
      <w:r>
        <w:rPr>
          <w:rFonts w:ascii="仿宋_GB2312" w:hAnsi="仿宋" w:eastAsia="仿宋_GB2312"/>
          <w:bCs/>
          <w:sz w:val="32"/>
          <w:szCs w:val="32"/>
        </w:rPr>
        <w:t>0</w:t>
      </w:r>
      <w:r>
        <w:rPr>
          <w:rFonts w:hint="eastAsia" w:ascii="仿宋_GB2312" w:hAnsi="仿宋" w:eastAsia="仿宋_GB2312"/>
          <w:bCs/>
          <w:sz w:val="32"/>
          <w:szCs w:val="32"/>
        </w:rPr>
        <w:t>万元，决算数为</w:t>
      </w:r>
      <w:r>
        <w:rPr>
          <w:rFonts w:ascii="仿宋_GB2312" w:hAnsi="仿宋" w:eastAsia="仿宋_GB2312"/>
          <w:bCs/>
          <w:sz w:val="32"/>
          <w:szCs w:val="32"/>
        </w:rPr>
        <w:t>0</w:t>
      </w:r>
      <w:r>
        <w:rPr>
          <w:rFonts w:hint="eastAsia" w:ascii="仿宋_GB2312" w:hAnsi="仿宋" w:eastAsia="仿宋_GB2312"/>
          <w:bCs/>
          <w:sz w:val="32"/>
          <w:szCs w:val="32"/>
        </w:rPr>
        <w:t>万元。日常公用经费控制情况良好。</w:t>
      </w:r>
    </w:p>
    <w:p>
      <w:pPr>
        <w:ind w:firstLine="643" w:firstLineChars="200"/>
        <w:rPr>
          <w:rFonts w:ascii="仿宋_GB2312" w:hAnsi="仿宋" w:eastAsia="仿宋_GB2312"/>
          <w:b/>
          <w:sz w:val="32"/>
          <w:szCs w:val="32"/>
        </w:rPr>
      </w:pPr>
      <w:r>
        <w:rPr>
          <w:rFonts w:ascii="仿宋_GB2312" w:hAnsi="仿宋" w:eastAsia="仿宋_GB2312"/>
          <w:b/>
          <w:sz w:val="32"/>
          <w:szCs w:val="32"/>
        </w:rPr>
        <w:t>2.</w:t>
      </w:r>
      <w:r>
        <w:rPr>
          <w:rFonts w:hint="eastAsia" w:ascii="仿宋_GB2312" w:hAnsi="仿宋" w:eastAsia="仿宋_GB2312"/>
          <w:b/>
          <w:sz w:val="32"/>
          <w:szCs w:val="32"/>
        </w:rPr>
        <w:t>效率性</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我园2020年第一、第二、第三、第四季度的预算执行率分别为0%、1.2%、55.7%、100%。主要原因：一是我园为2020年新增公办园，二是疫情影响正常开园时间，支出进度未及时跟上。</w:t>
      </w:r>
    </w:p>
    <w:p>
      <w:pPr>
        <w:ind w:firstLine="643" w:firstLineChars="200"/>
        <w:rPr>
          <w:rFonts w:ascii="仿宋_GB2312" w:hAnsi="仿宋" w:eastAsia="仿宋_GB2312"/>
          <w:b/>
          <w:sz w:val="32"/>
          <w:szCs w:val="32"/>
        </w:rPr>
      </w:pPr>
      <w:r>
        <w:rPr>
          <w:rFonts w:hint="eastAsia" w:ascii="仿宋_GB2312" w:hAnsi="仿宋" w:eastAsia="仿宋_GB2312"/>
          <w:b/>
          <w:sz w:val="32"/>
          <w:szCs w:val="32"/>
        </w:rPr>
        <w:t>3.效果性</w:t>
      </w:r>
    </w:p>
    <w:p>
      <w:pPr>
        <w:ind w:firstLine="640" w:firstLineChars="200"/>
        <w:rPr>
          <w:rFonts w:ascii="仿宋_GB2312" w:hAnsi="黑体" w:eastAsia="仿宋_GB2312"/>
          <w:sz w:val="32"/>
          <w:szCs w:val="32"/>
        </w:rPr>
      </w:pPr>
      <w:r>
        <w:rPr>
          <w:rFonts w:hint="eastAsia" w:ascii="仿宋_GB2312" w:hAnsi="黑体" w:eastAsia="仿宋_GB2312"/>
          <w:sz w:val="32"/>
          <w:szCs w:val="32"/>
        </w:rPr>
        <w:t>一年来，我园充分发挥财政预算管理职能，认真贯彻落实国家、省、市及新区的预算及相关财政、财经法律法规，坚持以预算为前提，严格遵守财务管理、采购管理、项目管理、重大事项决策等制度，科学、合理地安排好各项经费支出，全年幼儿园发展经费、开办费及运行经费支出得到有力保障，促进我园在保教保育、家长工作、</w:t>
      </w:r>
      <w:r>
        <w:rPr>
          <w:rFonts w:hint="eastAsia" w:ascii="仿宋_GB2312" w:hAnsi="仿宋_GB2312" w:eastAsia="仿宋_GB2312" w:cs="仿宋_GB2312"/>
          <w:sz w:val="32"/>
          <w:szCs w:val="32"/>
        </w:rPr>
        <w:t>疫情防控等多个方面的发展。</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2020年，我园按照市、</w:t>
      </w:r>
      <w:r>
        <w:rPr>
          <w:rFonts w:hint="eastAsia" w:ascii="仿宋_GB2312" w:hAnsi="仿宋_GB2312" w:eastAsia="仿宋_GB2312" w:cs="仿宋_GB2312"/>
          <w:sz w:val="32"/>
          <w:szCs w:val="32"/>
          <w:lang w:val="en-US" w:eastAsia="zh-CN"/>
        </w:rPr>
        <w:t>新</w:t>
      </w:r>
      <w:r>
        <w:rPr>
          <w:rFonts w:hint="eastAsia" w:ascii="仿宋_GB2312" w:hAnsi="仿宋_GB2312" w:eastAsia="仿宋_GB2312" w:cs="仿宋_GB2312"/>
          <w:sz w:val="32"/>
          <w:szCs w:val="32"/>
        </w:rPr>
        <w:t>区教育部门的工作要求，在新区教育卫生党委的正确领导下，贯彻执行省市区相关文件精神，共同努力，认真做好常态化新冠肺炎疫情防控工作，积极开展教育教学等工作，使幼儿园各项工作获得了好评。如，建立健全了各项规章制度和目标管理机制，既推动工作规范化，又提升教职工的积极性；加强教学习和教研力度，提高教师的业务素质，从而提高教学质量；加强后勤人员服务意识，提高后勤服务质量，全力保障卫生保健工作、食堂管理、财务财产管理以及疫情防控落到实处；严把幼儿园安全防范工作，开展安全演练活动和安全知识培训，提升全园安全事故防范应对能力，确保师幼在园安全。</w:t>
      </w:r>
    </w:p>
    <w:p>
      <w:pPr>
        <w:ind w:firstLine="643" w:firstLineChars="200"/>
        <w:rPr>
          <w:rFonts w:ascii="仿宋_GB2312" w:hAnsi="仿宋" w:eastAsia="仿宋_GB2312"/>
          <w:b/>
          <w:sz w:val="32"/>
          <w:szCs w:val="32"/>
        </w:rPr>
      </w:pPr>
      <w:r>
        <w:rPr>
          <w:rFonts w:hint="eastAsia" w:ascii="仿宋_GB2312" w:hAnsi="仿宋" w:eastAsia="仿宋_GB2312"/>
          <w:b/>
          <w:sz w:val="32"/>
          <w:szCs w:val="32"/>
        </w:rPr>
        <w:t>4.公平性</w:t>
      </w:r>
    </w:p>
    <w:p>
      <w:pPr>
        <w:pStyle w:val="3"/>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我园已通过电话热线、信箱、微信公众号等渠道与群众互动交流、建立意见反映渠道以及群众意见办理回复机制，记录群众的各项咨询投诉问题，做好信访回复工作。</w:t>
      </w:r>
    </w:p>
    <w:p>
      <w:pPr>
        <w:ind w:firstLine="640" w:firstLineChars="200"/>
        <w:rPr>
          <w:rFonts w:ascii="黑体" w:hAnsi="黑体" w:eastAsia="黑体"/>
          <w:bCs/>
          <w:sz w:val="32"/>
          <w:szCs w:val="32"/>
        </w:rPr>
      </w:pPr>
      <w:r>
        <w:rPr>
          <w:rFonts w:hint="eastAsia" w:ascii="黑体" w:hAnsi="黑体" w:eastAsia="黑体"/>
          <w:bCs/>
          <w:sz w:val="32"/>
          <w:szCs w:val="32"/>
        </w:rPr>
        <w:t>三、总体评价和整改措施</w:t>
      </w:r>
    </w:p>
    <w:p>
      <w:pPr>
        <w:ind w:firstLine="643" w:firstLineChars="200"/>
        <w:rPr>
          <w:rFonts w:ascii="楷体" w:hAnsi="楷体" w:eastAsia="楷体"/>
          <w:b/>
          <w:bCs/>
          <w:sz w:val="32"/>
          <w:szCs w:val="32"/>
        </w:rPr>
      </w:pPr>
      <w:r>
        <w:rPr>
          <w:rFonts w:hint="eastAsia" w:ascii="楷体" w:hAnsi="楷体" w:eastAsia="楷体"/>
          <w:b/>
          <w:bCs/>
          <w:sz w:val="32"/>
          <w:szCs w:val="32"/>
        </w:rPr>
        <w:t>（一）预算绩效管理工作主要经验、做法。</w:t>
      </w:r>
    </w:p>
    <w:p>
      <w:pPr>
        <w:ind w:firstLine="640" w:firstLineChars="200"/>
        <w:rPr>
          <w:rFonts w:ascii="仿宋_GB2312" w:hAnsi="仿宋" w:eastAsia="仿宋_GB2312"/>
          <w:bCs/>
          <w:sz w:val="32"/>
          <w:szCs w:val="32"/>
        </w:rPr>
      </w:pPr>
      <w:r>
        <w:rPr>
          <w:rFonts w:ascii="仿宋_GB2312" w:hAnsi="仿宋" w:eastAsia="仿宋_GB2312"/>
          <w:bCs/>
          <w:sz w:val="32"/>
          <w:szCs w:val="32"/>
        </w:rPr>
        <w:t>1.2020</w:t>
      </w:r>
      <w:r>
        <w:rPr>
          <w:rFonts w:hint="eastAsia" w:ascii="仿宋_GB2312" w:hAnsi="仿宋" w:eastAsia="仿宋_GB2312"/>
          <w:bCs/>
          <w:sz w:val="32"/>
          <w:szCs w:val="32"/>
        </w:rPr>
        <w:t>年度我园在预算项目的执行做到按计划支出，跟进序时进度，预算项目实施规范合理，项目完成接受审计监督，反馈结果及时整改，实现预算绩效管理与预算执行、监督的有机结合。</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2.加强绩效目标管理，进一步扩大管理范围。绩效目标管理是预算绩效管理工作的基础，编制科学的绩效目标，能为以后部门预算执行和项目绩效评价提供基本依据。我园为2020年新办幼儿园，未申报的项目绩效目标，但在绩效自评前及时补充完善项目绩效目标，结合项目实际情况，对补充的项目绩效目标逐个进行审核，保证绩效目标编制质量。同时，进一步扩大管理范围，要求所有预算内拨款项目都编制绩效目标，实现绩效目标管理全覆盖。</w:t>
      </w:r>
    </w:p>
    <w:p>
      <w:pPr>
        <w:ind w:firstLine="643" w:firstLineChars="200"/>
        <w:rPr>
          <w:rFonts w:ascii="楷体" w:hAnsi="楷体" w:eastAsia="楷体"/>
          <w:b/>
          <w:bCs/>
          <w:sz w:val="32"/>
          <w:szCs w:val="32"/>
        </w:rPr>
      </w:pPr>
      <w:r>
        <w:rPr>
          <w:rFonts w:hint="eastAsia" w:ascii="楷体" w:hAnsi="楷体" w:eastAsia="楷体"/>
          <w:b/>
          <w:bCs/>
          <w:sz w:val="32"/>
          <w:szCs w:val="32"/>
        </w:rPr>
        <w:t>（二）部门整体支出绩效存在问题及改进措施。</w:t>
      </w:r>
    </w:p>
    <w:p>
      <w:pPr>
        <w:ind w:firstLine="643" w:firstLineChars="200"/>
        <w:rPr>
          <w:rFonts w:ascii="仿宋_GB2312" w:hAnsi="仿宋" w:eastAsia="仿宋_GB2312"/>
          <w:b/>
          <w:sz w:val="32"/>
          <w:szCs w:val="32"/>
        </w:rPr>
      </w:pPr>
      <w:r>
        <w:rPr>
          <w:rFonts w:hint="eastAsia" w:ascii="仿宋_GB2312" w:hAnsi="仿宋" w:eastAsia="仿宋_GB2312"/>
          <w:b/>
          <w:sz w:val="32"/>
          <w:szCs w:val="32"/>
        </w:rPr>
        <w:t>1.存在问题</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绩效指标和目标值的科学设定是预算绩效目标管理的难点，我园缺乏可参照的评价指标体系，大部分项目的绩效指标和目标值由各</w:t>
      </w:r>
      <w:r>
        <w:rPr>
          <w:rFonts w:hint="eastAsia" w:ascii="仿宋_GB2312" w:hAnsi="仿宋" w:eastAsia="仿宋_GB2312"/>
          <w:bCs/>
          <w:sz w:val="32"/>
          <w:szCs w:val="32"/>
          <w:lang w:val="en-US" w:eastAsia="zh-CN"/>
        </w:rPr>
        <w:t>部门</w:t>
      </w:r>
      <w:r>
        <w:rPr>
          <w:rFonts w:hint="eastAsia" w:ascii="仿宋_GB2312" w:hAnsi="仿宋" w:eastAsia="仿宋_GB2312"/>
          <w:bCs/>
          <w:sz w:val="32"/>
          <w:szCs w:val="32"/>
        </w:rPr>
        <w:t>在编制预算时自行设定，加之，部分业务人员对资金项目情况和预算绩效目标编制方法不熟悉，提不出与资金量相匹配的项目可量化的“绩”与“效”，导致部门项目绩效目标设置存在填报内容不规范、绩效指标清晰、可衡量程度不足的情况。</w:t>
      </w:r>
    </w:p>
    <w:p>
      <w:pPr>
        <w:ind w:firstLine="643" w:firstLineChars="200"/>
        <w:rPr>
          <w:rFonts w:ascii="仿宋_GB2312" w:hAnsi="仿宋" w:eastAsia="仿宋_GB2312"/>
          <w:b/>
          <w:sz w:val="32"/>
          <w:szCs w:val="32"/>
        </w:rPr>
      </w:pPr>
      <w:r>
        <w:rPr>
          <w:rFonts w:hint="eastAsia" w:ascii="仿宋_GB2312" w:hAnsi="仿宋" w:eastAsia="仿宋_GB2312"/>
          <w:b/>
          <w:sz w:val="32"/>
          <w:szCs w:val="32"/>
        </w:rPr>
        <w:t>2.改进措施</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（1）加强预算绩效培训力度，提高预算绩效管理能力</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通过邀请预算绩效管理方面的专家或集体去外地考察培训等多种形式开展不同层次的业务培训，加强我园预算绩效管理专业人才队伍建设，加强各业务人员对绩效管理的概念、绩效目标的编制、绩效运行监控等的认识，进一步提升其理论和业务水平。</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（2）</w:t>
      </w:r>
      <w:r>
        <w:rPr>
          <w:rFonts w:ascii="仿宋_GB2312" w:hAnsi="仿宋" w:eastAsia="仿宋_GB2312"/>
          <w:bCs/>
          <w:sz w:val="32"/>
          <w:szCs w:val="32"/>
        </w:rPr>
        <w:t>设置具有专业特征的预算绩效指标体系</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在今后的预算绩效管理工作，我将严格落实“</w:t>
      </w:r>
      <w:r>
        <w:rPr>
          <w:rFonts w:ascii="仿宋_GB2312" w:hAnsi="仿宋" w:eastAsia="仿宋_GB2312"/>
          <w:bCs/>
          <w:sz w:val="32"/>
          <w:szCs w:val="32"/>
        </w:rPr>
        <w:t>谁申请资金、谁设定目标</w:t>
      </w:r>
      <w:r>
        <w:rPr>
          <w:rFonts w:hint="eastAsia" w:ascii="仿宋_GB2312" w:hAnsi="仿宋" w:eastAsia="仿宋_GB2312"/>
          <w:bCs/>
          <w:sz w:val="32"/>
          <w:szCs w:val="32"/>
        </w:rPr>
        <w:t>”</w:t>
      </w:r>
      <w:r>
        <w:rPr>
          <w:rFonts w:ascii="仿宋_GB2312" w:hAnsi="仿宋" w:eastAsia="仿宋_GB2312"/>
          <w:bCs/>
          <w:sz w:val="32"/>
          <w:szCs w:val="32"/>
        </w:rPr>
        <w:t>的原则，进行绩效目标的设定</w:t>
      </w:r>
      <w:r>
        <w:rPr>
          <w:rFonts w:hint="eastAsia" w:ascii="仿宋_GB2312" w:hAnsi="仿宋" w:eastAsia="仿宋_GB2312"/>
          <w:bCs/>
          <w:sz w:val="32"/>
          <w:szCs w:val="32"/>
        </w:rPr>
        <w:t>，并结合幼儿园实际业务</w:t>
      </w:r>
      <w:r>
        <w:rPr>
          <w:rFonts w:ascii="仿宋_GB2312" w:hAnsi="仿宋" w:eastAsia="仿宋_GB2312"/>
          <w:bCs/>
          <w:sz w:val="32"/>
          <w:szCs w:val="32"/>
        </w:rPr>
        <w:t>设置具有专业特征的预算绩效指标体系</w:t>
      </w:r>
      <w:r>
        <w:rPr>
          <w:rFonts w:hint="eastAsia" w:ascii="仿宋_GB2312" w:hAnsi="仿宋" w:eastAsia="仿宋_GB2312"/>
          <w:bCs/>
          <w:sz w:val="32"/>
          <w:szCs w:val="32"/>
        </w:rPr>
        <w:t>，保障</w:t>
      </w:r>
      <w:r>
        <w:rPr>
          <w:rFonts w:ascii="仿宋_GB2312" w:hAnsi="仿宋" w:eastAsia="仿宋_GB2312"/>
          <w:bCs/>
          <w:sz w:val="32"/>
          <w:szCs w:val="32"/>
        </w:rPr>
        <w:t>绩效目标指向明确、可细化量化、合理可行，并与计划期内的任务数相对应，与预算投资额相匹配。</w:t>
      </w:r>
    </w:p>
    <w:p>
      <w:pPr>
        <w:ind w:firstLine="643" w:firstLineChars="200"/>
        <w:rPr>
          <w:rFonts w:ascii="楷体" w:hAnsi="楷体" w:eastAsia="楷体"/>
          <w:b/>
          <w:bCs/>
          <w:sz w:val="32"/>
          <w:szCs w:val="32"/>
        </w:rPr>
      </w:pPr>
      <w:r>
        <w:rPr>
          <w:rFonts w:hint="eastAsia" w:ascii="楷体" w:hAnsi="楷体" w:eastAsia="楷体"/>
          <w:b/>
          <w:bCs/>
          <w:sz w:val="32"/>
          <w:szCs w:val="32"/>
        </w:rPr>
        <w:t>（三）后续工作计划、相关建议等。</w:t>
      </w:r>
    </w:p>
    <w:p>
      <w:pPr>
        <w:ind w:firstLine="640" w:firstLineChars="200"/>
        <w:rPr>
          <w:rFonts w:ascii="仿宋_GB2312" w:hAnsi="仿宋" w:eastAsia="仿宋_GB2312"/>
          <w:bCs/>
          <w:sz w:val="32"/>
          <w:szCs w:val="32"/>
        </w:rPr>
      </w:pPr>
      <w:r>
        <w:rPr>
          <w:rFonts w:ascii="仿宋_GB2312" w:hAnsi="仿宋" w:eastAsia="仿宋_GB2312"/>
          <w:bCs/>
          <w:sz w:val="32"/>
          <w:szCs w:val="32"/>
        </w:rPr>
        <w:t>1.</w:t>
      </w:r>
      <w:r>
        <w:rPr>
          <w:rFonts w:hint="eastAsia" w:ascii="仿宋_GB2312" w:hAnsi="仿宋" w:eastAsia="仿宋_GB2312"/>
          <w:bCs/>
          <w:sz w:val="32"/>
          <w:szCs w:val="32"/>
        </w:rPr>
        <w:t>加强预算绩效目标管理工作。明确预算项目绩效目标编制要求，分类别建立科学合理、细化量化、可比可测、可动态调整项目预算绩效指标体系，突出结果导向</w:t>
      </w:r>
      <w:r>
        <w:rPr>
          <w:rFonts w:ascii="仿宋_GB2312" w:hAnsi="仿宋" w:eastAsia="仿宋_GB2312"/>
          <w:bCs/>
          <w:sz w:val="32"/>
          <w:szCs w:val="32"/>
        </w:rPr>
        <w:t>,</w:t>
      </w:r>
      <w:r>
        <w:rPr>
          <w:rFonts w:hint="eastAsia" w:ascii="仿宋_GB2312" w:hAnsi="仿宋" w:eastAsia="仿宋_GB2312"/>
          <w:bCs/>
          <w:sz w:val="32"/>
          <w:szCs w:val="32"/>
        </w:rPr>
        <w:t>重点考核实绩。实施预算执行进度及目标“双监控”，保障预算项目资金支出进度及绩效目标完成情况均能实时掌控，一旦发生偏离可及时采取应对措施，保障预算项目执行有效。</w:t>
      </w:r>
    </w:p>
    <w:p>
      <w:pPr>
        <w:ind w:firstLine="640" w:firstLineChars="200"/>
        <w:rPr>
          <w:rFonts w:ascii="仿宋_GB2312" w:hAnsi="仿宋" w:eastAsia="仿宋_GB2312"/>
          <w:bCs/>
          <w:sz w:val="32"/>
          <w:szCs w:val="32"/>
        </w:rPr>
      </w:pPr>
      <w:r>
        <w:rPr>
          <w:rFonts w:ascii="仿宋_GB2312" w:hAnsi="仿宋" w:eastAsia="仿宋_GB2312"/>
          <w:bCs/>
          <w:sz w:val="32"/>
          <w:szCs w:val="32"/>
        </w:rPr>
        <w:t>2.</w:t>
      </w:r>
      <w:r>
        <w:rPr>
          <w:rFonts w:hint="eastAsia" w:ascii="仿宋_GB2312" w:hAnsi="仿宋" w:eastAsia="仿宋_GB2312"/>
          <w:bCs/>
          <w:sz w:val="32"/>
          <w:szCs w:val="32"/>
        </w:rPr>
        <w:t>继续完善预算绩效管理相关工作制度，形成绩效管理手册或者实施细则等可操作的指引文件，借助第三方专业机构力量，贯彻落实全面预算绩效管理工作，建立全过程预算绩效管理链条，将事前绩效评估、预算绩效目标管理、监控、评价以及应用各环节紧密贯通。</w:t>
      </w:r>
    </w:p>
    <w:p>
      <w:pPr>
        <w:ind w:firstLine="800" w:firstLineChars="250"/>
        <w:rPr>
          <w:rFonts w:ascii="黑体" w:hAnsi="黑体" w:eastAsia="黑体"/>
          <w:sz w:val="32"/>
          <w:szCs w:val="32"/>
        </w:rPr>
      </w:pPr>
      <w:r>
        <w:rPr>
          <w:rFonts w:hint="eastAsia" w:ascii="黑体" w:hAnsi="黑体" w:eastAsia="黑体"/>
          <w:sz w:val="32"/>
          <w:szCs w:val="32"/>
        </w:rPr>
        <w:t>四、部门整体支出绩效评价指标评分情况</w:t>
      </w:r>
    </w:p>
    <w:p>
      <w:pPr>
        <w:ind w:firstLine="640" w:firstLineChars="200"/>
        <w:rPr>
          <w:rFonts w:hint="eastAsia" w:ascii="仿宋_GB2312" w:hAnsi="Calibri" w:eastAsia="仿宋_GB2312"/>
          <w:sz w:val="32"/>
          <w:szCs w:val="32"/>
          <w:lang w:eastAsia="zh-CN"/>
        </w:rPr>
      </w:pPr>
      <w:r>
        <w:rPr>
          <w:rFonts w:hint="eastAsia" w:ascii="仿宋_GB2312" w:hAnsi="Calibri" w:eastAsia="仿宋_GB2312"/>
          <w:sz w:val="32"/>
          <w:szCs w:val="32"/>
        </w:rPr>
        <w:t>我园参照《部门整体支出绩效评价共性指标体系框架（</w:t>
      </w:r>
      <w:r>
        <w:rPr>
          <w:rFonts w:ascii="仿宋_GB2312" w:hAnsi="Calibri" w:eastAsia="仿宋_GB2312"/>
          <w:sz w:val="32"/>
          <w:szCs w:val="32"/>
        </w:rPr>
        <w:t>2020</w:t>
      </w:r>
      <w:r>
        <w:rPr>
          <w:rFonts w:hint="eastAsia" w:ascii="仿宋_GB2312" w:hAnsi="Calibri" w:eastAsia="仿宋_GB2312"/>
          <w:sz w:val="32"/>
          <w:szCs w:val="32"/>
        </w:rPr>
        <w:t>年度）》进行自评，总体得分97分，具体得分情况如下</w:t>
      </w:r>
      <w:r>
        <w:rPr>
          <w:rFonts w:hint="eastAsia" w:ascii="仿宋_GB2312" w:hAnsi="Calibri" w:eastAsia="仿宋_GB2312"/>
          <w:sz w:val="32"/>
          <w:szCs w:val="32"/>
          <w:lang w:eastAsia="zh-CN"/>
        </w:rPr>
        <w:t>：</w:t>
      </w:r>
    </w:p>
    <w:p>
      <w:pPr>
        <w:spacing w:line="540" w:lineRule="exact"/>
        <w:ind w:firstLine="800" w:firstLineChars="250"/>
        <w:rPr>
          <w:rFonts w:ascii="仿宋_GB2312" w:eastAsia="仿宋_GB2312"/>
          <w:sz w:val="32"/>
          <w:szCs w:val="32"/>
        </w:rPr>
        <w:sectPr>
          <w:pgSz w:w="11906" w:h="16838"/>
          <w:pgMar w:top="1440" w:right="1800" w:bottom="1440" w:left="1800" w:header="851" w:footer="992" w:gutter="0"/>
          <w:cols w:space="425" w:num="1"/>
          <w:docGrid w:type="lines" w:linePitch="312" w:charSpace="0"/>
        </w:sectPr>
      </w:pPr>
    </w:p>
    <w:p>
      <w:pPr>
        <w:tabs>
          <w:tab w:val="center" w:pos="6979"/>
        </w:tabs>
        <w:spacing w:line="620" w:lineRule="exact"/>
        <w:jc w:val="left"/>
        <w:rPr>
          <w:rFonts w:ascii="仿宋_GB2312" w:eastAsia="仿宋_GB2312"/>
          <w:sz w:val="28"/>
          <w:szCs w:val="28"/>
        </w:rPr>
      </w:pPr>
      <w:r>
        <w:rPr>
          <w:rFonts w:hint="eastAsia" w:ascii="仿宋_GB2312" w:eastAsia="仿宋_GB2312" w:cs="仿宋_GB2312"/>
          <w:sz w:val="28"/>
          <w:szCs w:val="28"/>
        </w:rPr>
        <w:t>附件：</w:t>
      </w:r>
    </w:p>
    <w:p>
      <w:pPr>
        <w:tabs>
          <w:tab w:val="center" w:pos="6979"/>
        </w:tabs>
        <w:spacing w:line="620" w:lineRule="exact"/>
        <w:jc w:val="center"/>
        <w:rPr>
          <w:sz w:val="28"/>
          <w:szCs w:val="28"/>
        </w:rPr>
      </w:pPr>
      <w:r>
        <w:rPr>
          <w:rFonts w:hint="eastAsia" w:ascii="方正小标宋_GBK" w:hAnsi="方正小标宋_GBK" w:eastAsia="方正小标宋_GBK" w:cs="方正小标宋_GBK"/>
          <w:sz w:val="30"/>
          <w:szCs w:val="30"/>
        </w:rPr>
        <w:t>部门整体支出绩效评价共性指标体系框架（2020年修订）</w:t>
      </w:r>
    </w:p>
    <w:tbl>
      <w:tblPr>
        <w:tblStyle w:val="9"/>
        <w:tblW w:w="15163" w:type="dxa"/>
        <w:tblInd w:w="0" w:type="dxa"/>
        <w:tblLayout w:type="fixed"/>
        <w:tblCellMar>
          <w:top w:w="0" w:type="dxa"/>
          <w:left w:w="108" w:type="dxa"/>
          <w:bottom w:w="0" w:type="dxa"/>
          <w:right w:w="108" w:type="dxa"/>
        </w:tblCellMar>
      </w:tblPr>
      <w:tblGrid>
        <w:gridCol w:w="577"/>
        <w:gridCol w:w="567"/>
        <w:gridCol w:w="567"/>
        <w:gridCol w:w="567"/>
        <w:gridCol w:w="851"/>
        <w:gridCol w:w="567"/>
        <w:gridCol w:w="2536"/>
        <w:gridCol w:w="5812"/>
        <w:gridCol w:w="822"/>
        <w:gridCol w:w="2297"/>
      </w:tblGrid>
      <w:tr>
        <w:tblPrEx>
          <w:tblCellMar>
            <w:top w:w="0" w:type="dxa"/>
            <w:left w:w="108" w:type="dxa"/>
            <w:bottom w:w="0" w:type="dxa"/>
            <w:right w:w="108" w:type="dxa"/>
          </w:tblCellMar>
        </w:tblPrEx>
        <w:trPr>
          <w:trHeight w:val="180" w:hRule="atLeast"/>
          <w:tblHeader/>
        </w:trPr>
        <w:tc>
          <w:tcPr>
            <w:tcW w:w="3696" w:type="dxa"/>
            <w:gridSpan w:val="6"/>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评价指标</w:t>
            </w:r>
          </w:p>
        </w:tc>
        <w:tc>
          <w:tcPr>
            <w:tcW w:w="2536"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指标说明</w:t>
            </w:r>
          </w:p>
        </w:tc>
        <w:tc>
          <w:tcPr>
            <w:tcW w:w="5812"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参考评分标准</w:t>
            </w:r>
          </w:p>
        </w:tc>
        <w:tc>
          <w:tcPr>
            <w:tcW w:w="822" w:type="dxa"/>
            <w:vMerge w:val="restart"/>
            <w:tcBorders>
              <w:top w:val="single" w:color="auto" w:sz="4" w:space="0"/>
              <w:left w:val="nil"/>
              <w:right w:val="single" w:color="auto" w:sz="4" w:space="0"/>
            </w:tcBorders>
            <w:vAlign w:val="center"/>
          </w:tcPr>
          <w:p>
            <w:pPr>
              <w:spacing w:line="320" w:lineRule="exact"/>
              <w:jc w:val="center"/>
              <w:rPr>
                <w:rFonts w:ascii="黑体" w:hAnsi="黑体" w:eastAsia="黑体" w:cs="黑体"/>
                <w:kern w:val="0"/>
              </w:rPr>
            </w:pPr>
            <w:r>
              <w:rPr>
                <w:rFonts w:hint="eastAsia" w:ascii="黑体" w:hAnsi="黑体" w:eastAsia="黑体"/>
                <w:kern w:val="0"/>
                <w:szCs w:val="21"/>
              </w:rPr>
              <w:t>得分情况</w:t>
            </w:r>
          </w:p>
        </w:tc>
        <w:tc>
          <w:tcPr>
            <w:tcW w:w="2297" w:type="dxa"/>
            <w:vMerge w:val="restart"/>
            <w:tcBorders>
              <w:top w:val="single" w:color="auto" w:sz="4" w:space="0"/>
              <w:left w:val="nil"/>
              <w:right w:val="single" w:color="auto" w:sz="4" w:space="0"/>
            </w:tcBorders>
            <w:vAlign w:val="center"/>
          </w:tcPr>
          <w:p>
            <w:pPr>
              <w:spacing w:line="320" w:lineRule="exact"/>
              <w:jc w:val="center"/>
              <w:rPr>
                <w:rFonts w:ascii="黑体" w:hAnsi="黑体" w:eastAsia="黑体" w:cs="黑体"/>
                <w:kern w:val="0"/>
              </w:rPr>
            </w:pPr>
            <w:r>
              <w:rPr>
                <w:rFonts w:hint="eastAsia" w:ascii="黑体" w:hAnsi="黑体" w:eastAsia="黑体"/>
                <w:kern w:val="0"/>
                <w:szCs w:val="21"/>
              </w:rPr>
              <w:t>扣分</w:t>
            </w:r>
            <w:r>
              <w:rPr>
                <w:rFonts w:hint="eastAsia" w:ascii="黑体" w:hAnsi="黑体" w:eastAsia="黑体"/>
                <w:kern w:val="0"/>
              </w:rPr>
              <w:t>情况及整改情况说明</w:t>
            </w:r>
          </w:p>
        </w:tc>
      </w:tr>
      <w:tr>
        <w:tblPrEx>
          <w:tblCellMar>
            <w:top w:w="0" w:type="dxa"/>
            <w:left w:w="108" w:type="dxa"/>
            <w:bottom w:w="0" w:type="dxa"/>
            <w:right w:w="108" w:type="dxa"/>
          </w:tblCellMar>
        </w:tblPrEx>
        <w:trPr>
          <w:trHeight w:val="463" w:hRule="atLeast"/>
          <w:tblHeader/>
        </w:trPr>
        <w:tc>
          <w:tcPr>
            <w:tcW w:w="1144" w:type="dxa"/>
            <w:gridSpan w:val="2"/>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一级指标</w:t>
            </w:r>
          </w:p>
        </w:tc>
        <w:tc>
          <w:tcPr>
            <w:tcW w:w="1134"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二级指标</w:t>
            </w:r>
          </w:p>
        </w:tc>
        <w:tc>
          <w:tcPr>
            <w:tcW w:w="1418"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三级指标</w:t>
            </w:r>
          </w:p>
        </w:tc>
        <w:tc>
          <w:tcPr>
            <w:tcW w:w="2536"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5812"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822" w:type="dxa"/>
            <w:vMerge w:val="continue"/>
            <w:tcBorders>
              <w:left w:val="nil"/>
              <w:right w:val="single" w:color="auto" w:sz="4" w:space="0"/>
            </w:tcBorders>
          </w:tcPr>
          <w:p>
            <w:pPr>
              <w:spacing w:line="320" w:lineRule="exact"/>
              <w:jc w:val="center"/>
              <w:rPr>
                <w:rFonts w:ascii="黑体" w:hAnsi="黑体" w:eastAsia="黑体"/>
                <w:kern w:val="0"/>
                <w:sz w:val="15"/>
                <w:szCs w:val="15"/>
              </w:rPr>
            </w:pPr>
          </w:p>
        </w:tc>
        <w:tc>
          <w:tcPr>
            <w:tcW w:w="2297" w:type="dxa"/>
            <w:vMerge w:val="continue"/>
            <w:tcBorders>
              <w:left w:val="nil"/>
              <w:right w:val="single" w:color="auto" w:sz="4" w:space="0"/>
            </w:tcBorders>
          </w:tcPr>
          <w:p>
            <w:pPr>
              <w:spacing w:line="320" w:lineRule="exact"/>
              <w:jc w:val="center"/>
              <w:rPr>
                <w:rFonts w:ascii="黑体" w:hAnsi="黑体" w:eastAsia="黑体"/>
                <w:kern w:val="0"/>
                <w:sz w:val="15"/>
                <w:szCs w:val="15"/>
              </w:rPr>
            </w:pPr>
          </w:p>
        </w:tc>
      </w:tr>
      <w:tr>
        <w:tblPrEx>
          <w:tblCellMar>
            <w:top w:w="0" w:type="dxa"/>
            <w:left w:w="108" w:type="dxa"/>
            <w:bottom w:w="0" w:type="dxa"/>
            <w:right w:w="108" w:type="dxa"/>
          </w:tblCellMar>
        </w:tblPrEx>
        <w:trPr>
          <w:trHeight w:val="774" w:hRule="atLeast"/>
          <w:tblHeader/>
        </w:trPr>
        <w:tc>
          <w:tcPr>
            <w:tcW w:w="577" w:type="dxa"/>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851"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2536"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5812"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822" w:type="dxa"/>
            <w:vMerge w:val="continue"/>
            <w:tcBorders>
              <w:left w:val="nil"/>
              <w:bottom w:val="single" w:color="auto" w:sz="4" w:space="0"/>
              <w:right w:val="single" w:color="auto" w:sz="4" w:space="0"/>
            </w:tcBorders>
          </w:tcPr>
          <w:p>
            <w:pPr>
              <w:widowControl/>
              <w:spacing w:line="320" w:lineRule="exact"/>
              <w:jc w:val="center"/>
              <w:rPr>
                <w:rFonts w:ascii="黑体" w:hAnsi="黑体" w:eastAsia="黑体"/>
                <w:kern w:val="0"/>
                <w:szCs w:val="21"/>
              </w:rPr>
            </w:pPr>
          </w:p>
        </w:tc>
        <w:tc>
          <w:tcPr>
            <w:tcW w:w="2297" w:type="dxa"/>
            <w:vMerge w:val="continue"/>
            <w:tcBorders>
              <w:left w:val="nil"/>
              <w:bottom w:val="single" w:color="auto" w:sz="4" w:space="0"/>
              <w:right w:val="single" w:color="auto" w:sz="4" w:space="0"/>
            </w:tcBorders>
          </w:tcPr>
          <w:p>
            <w:pPr>
              <w:widowControl/>
              <w:spacing w:line="320" w:lineRule="exact"/>
              <w:jc w:val="center"/>
              <w:rPr>
                <w:rFonts w:ascii="黑体" w:hAnsi="黑体" w:eastAsia="黑体"/>
                <w:kern w:val="0"/>
                <w:szCs w:val="21"/>
              </w:rPr>
            </w:pPr>
          </w:p>
        </w:tc>
      </w:tr>
      <w:tr>
        <w:tblPrEx>
          <w:tblCellMar>
            <w:top w:w="0" w:type="dxa"/>
            <w:left w:w="108" w:type="dxa"/>
            <w:bottom w:w="0" w:type="dxa"/>
            <w:right w:w="108" w:type="dxa"/>
          </w:tblCellMar>
        </w:tblPrEx>
        <w:trPr>
          <w:trHeight w:val="3741"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部门决策</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25</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预算编制</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10</w:t>
            </w: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预算编制合理性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5</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部门（单位）预算的合理性，即是否符合本部门职责、是否符合</w:t>
            </w:r>
            <w:r>
              <w:rPr>
                <w:rFonts w:hint="eastAsia" w:ascii="宋体" w:hAnsi="宋体" w:cs="宋体"/>
                <w:kern w:val="0"/>
                <w:lang w:eastAsia="zh-CN"/>
              </w:rPr>
              <w:t>新区党工委、管委会</w:t>
            </w:r>
            <w:r>
              <w:rPr>
                <w:rFonts w:hint="eastAsia" w:ascii="宋体" w:hAnsi="宋体" w:cs="宋体"/>
                <w:kern w:val="0"/>
              </w:rPr>
              <w:t>的方针政策和工作要求，资金有无根据项目的轻重缓急进行分配。</w:t>
            </w:r>
          </w:p>
        </w:tc>
        <w:tc>
          <w:tcPr>
            <w:tcW w:w="5812" w:type="dxa"/>
            <w:tcBorders>
              <w:top w:val="nil"/>
              <w:left w:val="nil"/>
              <w:bottom w:val="single" w:color="auto" w:sz="4" w:space="0"/>
              <w:right w:val="single" w:color="auto" w:sz="4" w:space="0"/>
            </w:tcBorders>
            <w:vAlign w:val="center"/>
          </w:tcPr>
          <w:p>
            <w:pPr>
              <w:widowControl/>
              <w:spacing w:line="300" w:lineRule="exact"/>
              <w:jc w:val="left"/>
              <w:rPr>
                <w:rFonts w:hint="eastAsia" w:ascii="宋体" w:hAnsi="宋体" w:eastAsia="宋体" w:cs="宋体"/>
                <w:kern w:val="0"/>
                <w:lang w:eastAsia="zh-CN"/>
              </w:rPr>
            </w:pPr>
            <w:r>
              <w:rPr>
                <w:rFonts w:ascii="宋体" w:hAnsi="宋体" w:cs="宋体"/>
                <w:kern w:val="0"/>
              </w:rPr>
              <w:t xml:space="preserve">   1.</w:t>
            </w:r>
            <w:r>
              <w:rPr>
                <w:rFonts w:hint="eastAsia" w:ascii="宋体" w:hAnsi="宋体" w:cs="宋体"/>
                <w:kern w:val="0"/>
              </w:rPr>
              <w:t>部门预算编制、分配符合本部门职责、符合</w:t>
            </w:r>
            <w:r>
              <w:rPr>
                <w:rFonts w:hint="eastAsia" w:ascii="宋体" w:hAnsi="宋体" w:cs="宋体"/>
                <w:kern w:val="0"/>
                <w:lang w:eastAsia="zh-CN"/>
              </w:rPr>
              <w:t>新区党工委、管委会</w:t>
            </w:r>
            <w:r>
              <w:rPr>
                <w:rFonts w:hint="eastAsia" w:ascii="宋体" w:hAnsi="宋体" w:cs="宋体"/>
                <w:kern w:val="0"/>
              </w:rPr>
              <w:t>方针政策和工作要求（</w:t>
            </w:r>
            <w:r>
              <w:rPr>
                <w:rFonts w:ascii="宋体" w:hAnsi="宋体" w:cs="宋体"/>
                <w:kern w:val="0"/>
              </w:rPr>
              <w:t>1</w:t>
            </w:r>
            <w:r>
              <w:rPr>
                <w:rFonts w:hint="eastAsia" w:ascii="宋体" w:hAnsi="宋体" w:cs="宋体"/>
                <w:kern w:val="0"/>
              </w:rPr>
              <w:t>分）；</w:t>
            </w:r>
          </w:p>
          <w:p>
            <w:pPr>
              <w:widowControl/>
              <w:spacing w:line="300" w:lineRule="exact"/>
              <w:jc w:val="left"/>
              <w:rPr>
                <w:rFonts w:hint="eastAsia" w:ascii="宋体" w:hAnsi="宋体" w:eastAsia="宋体" w:cs="宋体"/>
                <w:kern w:val="0"/>
                <w:lang w:eastAsia="zh-CN"/>
              </w:rPr>
            </w:pPr>
            <w:r>
              <w:rPr>
                <w:rFonts w:ascii="宋体" w:hAnsi="宋体" w:cs="宋体"/>
                <w:kern w:val="0"/>
              </w:rPr>
              <w:t xml:space="preserve">   2.</w:t>
            </w:r>
            <w:r>
              <w:rPr>
                <w:rFonts w:hint="eastAsia" w:ascii="宋体" w:hAnsi="宋体" w:cs="宋体"/>
                <w:kern w:val="0"/>
              </w:rPr>
              <w:t>部门预算资金能根据年度工作重点，在不同项目、不同用途之间合理分配（</w:t>
            </w:r>
            <w:r>
              <w:rPr>
                <w:rFonts w:ascii="宋体" w:hAnsi="宋体" w:cs="宋体"/>
                <w:kern w:val="0"/>
              </w:rPr>
              <w:t>1</w:t>
            </w:r>
            <w:r>
              <w:rPr>
                <w:rFonts w:hint="eastAsia" w:ascii="宋体" w:hAnsi="宋体" w:cs="宋体"/>
                <w:kern w:val="0"/>
              </w:rPr>
              <w:t>分）；</w:t>
            </w:r>
          </w:p>
          <w:p>
            <w:pPr>
              <w:widowControl/>
              <w:spacing w:line="300" w:lineRule="exact"/>
              <w:jc w:val="left"/>
              <w:rPr>
                <w:rFonts w:hint="eastAsia" w:ascii="宋体" w:hAnsi="宋体" w:eastAsia="宋体" w:cs="宋体"/>
                <w:kern w:val="0"/>
                <w:lang w:eastAsia="zh-CN"/>
              </w:rPr>
            </w:pPr>
            <w:r>
              <w:rPr>
                <w:rFonts w:ascii="宋体" w:hAnsi="宋体" w:cs="宋体"/>
                <w:kern w:val="0"/>
              </w:rPr>
              <w:t xml:space="preserve">   3.</w:t>
            </w:r>
            <w:r>
              <w:rPr>
                <w:rFonts w:hint="eastAsia" w:ascii="宋体" w:hAnsi="宋体" w:cs="宋体"/>
                <w:kern w:val="0"/>
              </w:rPr>
              <w:t>专项资金预算编制细化程度合理，未出现因年中调剂导致部门预决算差异过大问题（</w:t>
            </w:r>
            <w:r>
              <w:rPr>
                <w:rFonts w:ascii="宋体" w:hAnsi="宋体" w:cs="宋体"/>
                <w:kern w:val="0"/>
              </w:rPr>
              <w:t>1</w:t>
            </w:r>
            <w:r>
              <w:rPr>
                <w:rFonts w:hint="eastAsia" w:ascii="宋体" w:hAnsi="宋体" w:cs="宋体"/>
                <w:kern w:val="0"/>
              </w:rPr>
              <w:t>分）；</w:t>
            </w:r>
          </w:p>
          <w:p>
            <w:pPr>
              <w:widowControl/>
              <w:spacing w:line="300" w:lineRule="exact"/>
              <w:jc w:val="left"/>
              <w:rPr>
                <w:rFonts w:hint="eastAsia" w:ascii="宋体" w:hAnsi="宋体" w:eastAsia="宋体" w:cs="宋体"/>
                <w:kern w:val="0"/>
                <w:lang w:eastAsia="zh-CN"/>
              </w:rPr>
            </w:pPr>
            <w:r>
              <w:rPr>
                <w:rFonts w:ascii="宋体" w:hAnsi="宋体" w:cs="宋体"/>
                <w:kern w:val="0"/>
              </w:rPr>
              <w:t xml:space="preserve">   4.</w:t>
            </w:r>
            <w:r>
              <w:rPr>
                <w:rFonts w:hint="eastAsia" w:ascii="宋体" w:hAnsi="宋体" w:cs="宋体"/>
                <w:kern w:val="0"/>
              </w:rPr>
              <w:t>功能分类和经济分类编制准确，年度中间无大量调剂，未发生项目之间频繁调剂（</w:t>
            </w:r>
            <w:r>
              <w:rPr>
                <w:rFonts w:ascii="宋体" w:hAnsi="宋体" w:cs="宋体"/>
                <w:kern w:val="0"/>
              </w:rPr>
              <w:t>1</w:t>
            </w:r>
            <w:r>
              <w:rPr>
                <w:rFonts w:hint="eastAsia" w:ascii="宋体" w:hAnsi="宋体" w:cs="宋体"/>
                <w:kern w:val="0"/>
              </w:rPr>
              <w:t>分）；</w:t>
            </w:r>
          </w:p>
          <w:p>
            <w:pPr>
              <w:widowControl/>
              <w:spacing w:line="300" w:lineRule="exact"/>
              <w:jc w:val="left"/>
              <w:rPr>
                <w:rFonts w:ascii="宋体"/>
                <w:kern w:val="0"/>
              </w:rPr>
            </w:pPr>
            <w:r>
              <w:rPr>
                <w:rFonts w:ascii="宋体" w:hAnsi="宋体" w:cs="宋体"/>
                <w:kern w:val="0"/>
              </w:rPr>
              <w:t xml:space="preserve">   5.</w:t>
            </w:r>
            <w:r>
              <w:rPr>
                <w:rFonts w:hint="eastAsia" w:ascii="宋体" w:hAnsi="宋体" w:cs="宋体"/>
                <w:kern w:val="0"/>
              </w:rPr>
              <w:t>部门预算分配不固化，能根据实际情况合理调整，不存在项目支出进度慢、完成率低、绩效较差，但连年持续安排预算等不合理的情况（</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5</w:t>
            </w:r>
          </w:p>
        </w:tc>
        <w:tc>
          <w:tcPr>
            <w:tcW w:w="2297" w:type="dxa"/>
            <w:tcBorders>
              <w:top w:val="nil"/>
              <w:left w:val="nil"/>
              <w:bottom w:val="single" w:color="auto" w:sz="4" w:space="0"/>
              <w:right w:val="single" w:color="auto" w:sz="4" w:space="0"/>
            </w:tcBorders>
          </w:tcPr>
          <w:p>
            <w:pPr>
              <w:widowControl/>
              <w:spacing w:line="300" w:lineRule="exact"/>
              <w:jc w:val="left"/>
              <w:rPr>
                <w:rFonts w:ascii="宋体" w:hAnsi="宋体" w:cs="宋体"/>
                <w:kern w:val="0"/>
              </w:rPr>
            </w:pPr>
          </w:p>
        </w:tc>
      </w:tr>
      <w:tr>
        <w:tblPrEx>
          <w:tblCellMar>
            <w:top w:w="0" w:type="dxa"/>
            <w:left w:w="108" w:type="dxa"/>
            <w:bottom w:w="0" w:type="dxa"/>
            <w:right w:w="108" w:type="dxa"/>
          </w:tblCellMar>
        </w:tblPrEx>
        <w:trPr>
          <w:trHeight w:val="168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预算编制规范性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5</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部门（单位）预算编制是否符合财政部门当年度关于预算编制在规范性、完整性、细化程度等方面的原则和要求。</w:t>
            </w:r>
          </w:p>
        </w:tc>
        <w:tc>
          <w:tcPr>
            <w:tcW w:w="5812" w:type="dxa"/>
            <w:tcBorders>
              <w:top w:val="nil"/>
              <w:left w:val="nil"/>
              <w:bottom w:val="single" w:color="auto" w:sz="4" w:space="0"/>
              <w:right w:val="single" w:color="auto" w:sz="4" w:space="0"/>
            </w:tcBorders>
          </w:tcPr>
          <w:p>
            <w:pPr>
              <w:widowControl/>
              <w:spacing w:line="300" w:lineRule="exact"/>
              <w:ind w:firstLine="315" w:firstLineChars="150"/>
              <w:jc w:val="left"/>
              <w:rPr>
                <w:rFonts w:ascii="宋体"/>
                <w:kern w:val="0"/>
              </w:rPr>
            </w:pPr>
            <w:r>
              <w:rPr>
                <w:rFonts w:ascii="宋体" w:hAnsi="宋体" w:cs="宋体"/>
                <w:kern w:val="0"/>
              </w:rPr>
              <w:t>1.</w:t>
            </w:r>
            <w:r>
              <w:rPr>
                <w:rFonts w:hint="eastAsia" w:ascii="宋体" w:hAnsi="宋体" w:cs="宋体"/>
                <w:kern w:val="0"/>
              </w:rPr>
              <w:t>部门（单位）预算编制符合财政部门当年度关于预算编制的各项原则和要求，符合专项资金预算编制、项目库管理、新增项目事前绩效评估等要求（</w:t>
            </w:r>
            <w:r>
              <w:rPr>
                <w:rFonts w:ascii="宋体" w:hAnsi="宋体" w:cs="宋体"/>
                <w:kern w:val="0"/>
              </w:rPr>
              <w:t>5</w:t>
            </w:r>
            <w:r>
              <w:rPr>
                <w:rFonts w:hint="eastAsia" w:ascii="宋体" w:hAnsi="宋体" w:cs="宋体"/>
                <w:kern w:val="0"/>
              </w:rPr>
              <w:t>分）；</w:t>
            </w:r>
          </w:p>
          <w:p>
            <w:pPr>
              <w:widowControl/>
              <w:spacing w:line="300" w:lineRule="exact"/>
              <w:ind w:firstLine="315" w:firstLineChars="150"/>
              <w:jc w:val="left"/>
              <w:rPr>
                <w:rFonts w:ascii="宋体"/>
                <w:kern w:val="0"/>
              </w:rPr>
            </w:pPr>
            <w:r>
              <w:rPr>
                <w:rFonts w:ascii="宋体" w:hAnsi="宋体" w:cs="宋体"/>
                <w:kern w:val="0"/>
              </w:rPr>
              <w:t>2.</w:t>
            </w:r>
            <w:r>
              <w:rPr>
                <w:rFonts w:hint="eastAsia" w:ascii="宋体" w:hAnsi="宋体" w:cs="宋体"/>
                <w:kern w:val="0"/>
              </w:rPr>
              <w:t>发现一项不符合的扣</w:t>
            </w:r>
            <w:r>
              <w:rPr>
                <w:rFonts w:ascii="宋体" w:hAnsi="宋体" w:cs="宋体"/>
                <w:kern w:val="0"/>
              </w:rPr>
              <w:t>1</w:t>
            </w:r>
            <w:r>
              <w:rPr>
                <w:rFonts w:hint="eastAsia" w:ascii="宋体" w:hAnsi="宋体" w:cs="宋体"/>
                <w:kern w:val="0"/>
              </w:rPr>
              <w:t>分，扣完为止。</w:t>
            </w:r>
          </w:p>
          <w:p>
            <w:pPr>
              <w:widowControl/>
              <w:spacing w:line="300" w:lineRule="exact"/>
              <w:ind w:firstLine="315" w:firstLineChars="150"/>
              <w:jc w:val="left"/>
              <w:rPr>
                <w:rFonts w:ascii="宋体"/>
                <w:kern w:val="0"/>
              </w:rPr>
            </w:pPr>
            <w:r>
              <w:rPr>
                <w:rFonts w:hint="eastAsia" w:ascii="宋体" w:hAnsi="宋体" w:cs="宋体"/>
                <w:kern w:val="0"/>
              </w:rPr>
              <w:t>本指标需对照相应年度由财政部门印发的部门预算编制工作方案、通知和有关制度文件，根据实际情况评分。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5</w:t>
            </w:r>
          </w:p>
        </w:tc>
        <w:tc>
          <w:tcPr>
            <w:tcW w:w="2297" w:type="dxa"/>
            <w:tcBorders>
              <w:top w:val="nil"/>
              <w:left w:val="nil"/>
              <w:bottom w:val="single" w:color="auto" w:sz="4" w:space="0"/>
              <w:right w:val="single" w:color="auto" w:sz="4" w:space="0"/>
            </w:tcBorders>
          </w:tcPr>
          <w:p>
            <w:pPr>
              <w:widowControl/>
              <w:spacing w:line="300" w:lineRule="exact"/>
              <w:ind w:firstLine="315" w:firstLineChars="150"/>
              <w:jc w:val="left"/>
              <w:rPr>
                <w:rFonts w:ascii="宋体" w:hAnsi="宋体" w:cs="宋体"/>
                <w:kern w:val="0"/>
              </w:rPr>
            </w:pPr>
          </w:p>
        </w:tc>
      </w:tr>
      <w:tr>
        <w:tblPrEx>
          <w:tblCellMar>
            <w:top w:w="0" w:type="dxa"/>
            <w:left w:w="108" w:type="dxa"/>
            <w:bottom w:w="0" w:type="dxa"/>
            <w:right w:w="108" w:type="dxa"/>
          </w:tblCellMar>
        </w:tblPrEx>
        <w:trPr>
          <w:trHeight w:val="162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目标设置</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15</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绩效目标完整性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部门（单位）是否按要求编报项目绩效目标，是否依据充分、内容完整、覆盖全面、符合实际。</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部门（单位）按要求编报部门整体和项目的绩效目标，实现绩效目标全覆盖（</w:t>
            </w:r>
            <w:r>
              <w:rPr>
                <w:rFonts w:ascii="宋体" w:hAnsi="宋体" w:cs="宋体"/>
                <w:kern w:val="0"/>
              </w:rPr>
              <w:t>8</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2.</w:t>
            </w:r>
            <w:r>
              <w:rPr>
                <w:rFonts w:hint="eastAsia" w:ascii="宋体" w:hAnsi="宋体" w:cs="宋体"/>
                <w:kern w:val="0"/>
              </w:rPr>
              <w:t>没按要求编报绩效目标或绩效目标不符合要求的，一项扣</w:t>
            </w:r>
            <w:r>
              <w:rPr>
                <w:rFonts w:ascii="宋体" w:hAnsi="宋体" w:cs="宋体"/>
                <w:kern w:val="0"/>
              </w:rPr>
              <w:t>1</w:t>
            </w:r>
            <w:r>
              <w:rPr>
                <w:rFonts w:hint="eastAsia" w:ascii="宋体" w:hAnsi="宋体" w:cs="宋体"/>
                <w:kern w:val="0"/>
              </w:rPr>
              <w:t>分，扣完为止。</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8</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41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绩效指标明确性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7</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部门（单位）设定的绩效指标是否清晰、细化、可量化，用以反映和考核部门（单位）整体绩效目标的明细化情况。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rPr>
            </w:pPr>
            <w:r>
              <w:rPr>
                <w:rFonts w:ascii="宋体" w:hAnsi="宋体" w:cs="宋体"/>
                <w:kern w:val="0"/>
              </w:rPr>
              <w:t>1.</w:t>
            </w:r>
            <w:r>
              <w:rPr>
                <w:rFonts w:hint="eastAsia" w:ascii="宋体" w:hAnsi="宋体" w:cs="宋体"/>
                <w:kern w:val="0"/>
              </w:rPr>
              <w:t>绩效指标将部门整体绩效目标细化分解为具体工作任务，与部门年度任务数或计划数相对应（</w:t>
            </w:r>
            <w:r>
              <w:rPr>
                <w:rFonts w:ascii="宋体" w:hAnsi="宋体" w:cs="宋体"/>
                <w:kern w:val="0"/>
              </w:rPr>
              <w:t>2</w:t>
            </w:r>
            <w:r>
              <w:rPr>
                <w:rFonts w:hint="eastAsia" w:ascii="宋体" w:hAnsi="宋体" w:cs="宋体"/>
                <w:kern w:val="0"/>
              </w:rPr>
              <w:t>分）；</w:t>
            </w:r>
          </w:p>
          <w:p>
            <w:pPr>
              <w:widowControl/>
              <w:spacing w:line="320" w:lineRule="exact"/>
              <w:ind w:firstLine="420" w:firstLineChars="200"/>
              <w:rPr>
                <w:rFonts w:hint="eastAsia" w:ascii="宋体" w:hAnsi="宋体" w:eastAsia="宋体" w:cs="宋体"/>
                <w:kern w:val="0"/>
                <w:lang w:eastAsia="zh-CN"/>
              </w:rPr>
            </w:pPr>
            <w:r>
              <w:rPr>
                <w:rFonts w:ascii="宋体" w:hAnsi="宋体" w:cs="宋体"/>
                <w:kern w:val="0"/>
              </w:rPr>
              <w:t>2.</w:t>
            </w:r>
            <w:r>
              <w:rPr>
                <w:rFonts w:hint="eastAsia" w:ascii="宋体" w:hAnsi="宋体" w:cs="宋体"/>
                <w:kern w:val="0"/>
              </w:rPr>
              <w:t>绩效指标中包含能够明确体现部门（单位）履职效果的社会、经济、生态效益指标（</w:t>
            </w:r>
            <w:r>
              <w:rPr>
                <w:rFonts w:ascii="宋体" w:hAnsi="宋体" w:cs="宋体"/>
                <w:kern w:val="0"/>
              </w:rPr>
              <w:t>2</w:t>
            </w:r>
            <w:r>
              <w:rPr>
                <w:rFonts w:hint="eastAsia" w:ascii="宋体" w:hAnsi="宋体" w:cs="宋体"/>
                <w:kern w:val="0"/>
              </w:rPr>
              <w:t>分）；</w:t>
            </w:r>
          </w:p>
          <w:p>
            <w:pPr>
              <w:widowControl/>
              <w:spacing w:line="320" w:lineRule="exact"/>
              <w:ind w:firstLine="420" w:firstLineChars="200"/>
              <w:rPr>
                <w:rFonts w:hint="eastAsia" w:ascii="宋体" w:hAnsi="宋体" w:eastAsia="宋体" w:cs="宋体"/>
                <w:kern w:val="0"/>
                <w:lang w:eastAsia="zh-CN"/>
              </w:rPr>
            </w:pPr>
            <w:r>
              <w:rPr>
                <w:rFonts w:ascii="宋体" w:hAnsi="宋体" w:cs="宋体"/>
                <w:kern w:val="0"/>
              </w:rPr>
              <w:t xml:space="preserve">    3.</w:t>
            </w:r>
            <w:r>
              <w:rPr>
                <w:rFonts w:hint="eastAsia" w:ascii="宋体" w:hAnsi="宋体" w:cs="宋体"/>
                <w:kern w:val="0"/>
              </w:rPr>
              <w:t>绩效指标具有清晰、可衡量的指标值（</w:t>
            </w:r>
            <w:r>
              <w:rPr>
                <w:rFonts w:ascii="宋体" w:hAnsi="宋体" w:cs="宋体"/>
                <w:kern w:val="0"/>
              </w:rPr>
              <w:t>1</w:t>
            </w:r>
            <w:r>
              <w:rPr>
                <w:rFonts w:hint="eastAsia" w:ascii="宋体" w:hAnsi="宋体" w:cs="宋体"/>
                <w:kern w:val="0"/>
              </w:rPr>
              <w:t>分）；</w:t>
            </w:r>
          </w:p>
          <w:p>
            <w:pPr>
              <w:widowControl/>
              <w:spacing w:line="320" w:lineRule="exact"/>
              <w:ind w:firstLine="420" w:firstLineChars="200"/>
              <w:rPr>
                <w:rFonts w:ascii="宋体"/>
                <w:kern w:val="0"/>
              </w:rPr>
            </w:pPr>
            <w:r>
              <w:rPr>
                <w:rFonts w:ascii="宋体" w:hAnsi="宋体" w:cs="宋体"/>
                <w:kern w:val="0"/>
              </w:rPr>
              <w:t xml:space="preserve">    4</w:t>
            </w:r>
            <w:r>
              <w:rPr>
                <w:rFonts w:ascii="宋体" w:cs="宋体"/>
                <w:kern w:val="0"/>
              </w:rPr>
              <w:t>.</w:t>
            </w:r>
            <w:r>
              <w:rPr>
                <w:rFonts w:hint="eastAsia" w:ascii="宋体" w:hAnsi="宋体" w:cs="宋体"/>
                <w:kern w:val="0"/>
              </w:rPr>
              <w:t>绩效指标包含可量化的指标（</w:t>
            </w:r>
            <w:r>
              <w:rPr>
                <w:rFonts w:ascii="宋体" w:hAnsi="宋体" w:cs="宋体"/>
                <w:kern w:val="0"/>
              </w:rPr>
              <w:t>1</w:t>
            </w:r>
            <w:r>
              <w:rPr>
                <w:rFonts w:hint="eastAsia" w:ascii="宋体" w:hAnsi="宋体" w:cs="宋体"/>
                <w:kern w:val="0"/>
              </w:rPr>
              <w:t>分）；</w:t>
            </w:r>
          </w:p>
          <w:p>
            <w:pPr>
              <w:widowControl/>
              <w:spacing w:line="320" w:lineRule="exact"/>
              <w:rPr>
                <w:rFonts w:ascii="宋体"/>
                <w:kern w:val="0"/>
              </w:rPr>
            </w:pPr>
            <w:r>
              <w:rPr>
                <w:rFonts w:ascii="宋体" w:hAnsi="宋体" w:cs="宋体"/>
                <w:kern w:val="0"/>
              </w:rPr>
              <w:t xml:space="preserve">    5</w:t>
            </w:r>
            <w:r>
              <w:rPr>
                <w:rFonts w:ascii="宋体" w:cs="宋体"/>
                <w:kern w:val="0"/>
              </w:rPr>
              <w:t>.</w:t>
            </w:r>
            <w:r>
              <w:rPr>
                <w:rFonts w:hint="eastAsia" w:ascii="宋体" w:hAnsi="宋体" w:cs="宋体"/>
                <w:kern w:val="0"/>
              </w:rPr>
              <w:t>绩效目标的目标值测算能提供相关依据或符合客观实际情况（</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r>
              <w:rPr>
                <w:rFonts w:hint="eastAsia" w:ascii="宋体" w:hAnsi="宋体" w:cs="宋体"/>
                <w:kern w:val="0"/>
              </w:rPr>
              <w:t>扣分原因：我园第一年开展预算绩效管理工作，在绩效目标设置上清晰、可衡量程度不足。</w:t>
            </w:r>
          </w:p>
          <w:p>
            <w:pPr>
              <w:widowControl/>
              <w:spacing w:line="320" w:lineRule="exact"/>
              <w:rPr>
                <w:rFonts w:ascii="宋体" w:hAnsi="宋体" w:cs="宋体"/>
                <w:kern w:val="0"/>
              </w:rPr>
            </w:pPr>
            <w:r>
              <w:rPr>
                <w:rFonts w:hint="eastAsia" w:ascii="宋体" w:hAnsi="宋体" w:cs="宋体"/>
                <w:kern w:val="0"/>
              </w:rPr>
              <w:t>改进措施：加强预算绩效培训力度，提高预算绩效管理能力；</w:t>
            </w:r>
          </w:p>
          <w:p>
            <w:pPr>
              <w:widowControl/>
              <w:spacing w:line="320" w:lineRule="exact"/>
              <w:rPr>
                <w:rFonts w:ascii="宋体" w:hAnsi="宋体" w:cs="宋体"/>
                <w:kern w:val="0"/>
              </w:rPr>
            </w:pPr>
            <w:r>
              <w:rPr>
                <w:rFonts w:hint="eastAsia" w:ascii="宋体" w:hAnsi="宋体" w:cs="宋体"/>
                <w:kern w:val="0"/>
              </w:rPr>
              <w:t>严格落实“</w:t>
            </w:r>
            <w:r>
              <w:rPr>
                <w:rFonts w:ascii="宋体" w:hAnsi="宋体" w:cs="宋体"/>
                <w:kern w:val="0"/>
              </w:rPr>
              <w:t>谁申请资金、谁设定目标</w:t>
            </w:r>
            <w:r>
              <w:rPr>
                <w:rFonts w:hint="eastAsia" w:ascii="宋体" w:hAnsi="宋体" w:cs="宋体"/>
                <w:kern w:val="0"/>
              </w:rPr>
              <w:t>”</w:t>
            </w:r>
            <w:r>
              <w:rPr>
                <w:rFonts w:ascii="宋体" w:hAnsi="宋体" w:cs="宋体"/>
                <w:kern w:val="0"/>
              </w:rPr>
              <w:t>的原则，进行绩效目标的设定</w:t>
            </w:r>
            <w:r>
              <w:rPr>
                <w:rFonts w:hint="eastAsia" w:ascii="宋体" w:hAnsi="宋体" w:cs="宋体"/>
                <w:kern w:val="0"/>
              </w:rPr>
              <w:t>。</w:t>
            </w:r>
          </w:p>
        </w:tc>
      </w:tr>
      <w:tr>
        <w:tblPrEx>
          <w:tblCellMar>
            <w:top w:w="0" w:type="dxa"/>
            <w:left w:w="108" w:type="dxa"/>
            <w:bottom w:w="0" w:type="dxa"/>
            <w:right w:w="108" w:type="dxa"/>
          </w:tblCellMar>
        </w:tblPrEx>
        <w:trPr>
          <w:trHeight w:val="1359"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20</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资金管理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851"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政府采购执行情况</w:t>
            </w:r>
          </w:p>
        </w:tc>
        <w:tc>
          <w:tcPr>
            <w:tcW w:w="56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single" w:color="auto" w:sz="4" w:space="0"/>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部门（单位）本年度实际政府采购金额与年度政府采购预算的比率，用以反映和考核部门（单位）政府采购预算执行情况；政府采购政策功能的执行和落实情况。</w:t>
            </w:r>
          </w:p>
        </w:tc>
        <w:tc>
          <w:tcPr>
            <w:tcW w:w="5812" w:type="dxa"/>
            <w:tcBorders>
              <w:top w:val="single" w:color="auto" w:sz="4" w:space="0"/>
              <w:left w:val="nil"/>
              <w:bottom w:val="single" w:color="auto" w:sz="4" w:space="0"/>
              <w:right w:val="single" w:color="auto" w:sz="4" w:space="0"/>
            </w:tcBorders>
            <w:vAlign w:val="center"/>
          </w:tcPr>
          <w:p>
            <w:pPr>
              <w:widowControl/>
              <w:spacing w:line="320" w:lineRule="exact"/>
              <w:ind w:firstLine="405"/>
              <w:rPr>
                <w:rFonts w:hint="eastAsia" w:ascii="宋体" w:hAnsi="宋体" w:eastAsia="宋体" w:cs="宋体"/>
                <w:kern w:val="0"/>
                <w:lang w:eastAsia="zh-CN"/>
              </w:rPr>
            </w:pPr>
            <w:r>
              <w:rPr>
                <w:rFonts w:ascii="宋体" w:hAnsi="宋体" w:cs="宋体"/>
                <w:kern w:val="0"/>
              </w:rPr>
              <w:t>1.</w:t>
            </w:r>
            <w:r>
              <w:rPr>
                <w:rFonts w:hint="eastAsia" w:ascii="宋体" w:hAnsi="宋体" w:cs="宋体"/>
                <w:kern w:val="0"/>
              </w:rPr>
              <w:t>政府采购执行率得分</w:t>
            </w:r>
            <w:r>
              <w:rPr>
                <w:rFonts w:ascii="宋体" w:hAnsi="宋体" w:cs="宋体"/>
                <w:kern w:val="0"/>
              </w:rPr>
              <w:t>=</w:t>
            </w:r>
            <w:r>
              <w:rPr>
                <w:rFonts w:hint="eastAsia" w:ascii="宋体" w:hAnsi="宋体" w:cs="宋体"/>
                <w:kern w:val="0"/>
              </w:rPr>
              <w:t>政府采购执行率×</w:t>
            </w:r>
            <w:r>
              <w:rPr>
                <w:rFonts w:ascii="宋体" w:hAnsi="宋体" w:cs="宋体"/>
                <w:kern w:val="0"/>
              </w:rPr>
              <w:t>1</w:t>
            </w:r>
            <w:r>
              <w:rPr>
                <w:rFonts w:hint="eastAsia" w:ascii="宋体" w:hAnsi="宋体" w:cs="宋体"/>
                <w:kern w:val="0"/>
              </w:rPr>
              <w:t>分</w:t>
            </w:r>
          </w:p>
          <w:p>
            <w:pPr>
              <w:widowControl/>
              <w:spacing w:line="320" w:lineRule="exact"/>
              <w:ind w:firstLine="405"/>
              <w:rPr>
                <w:rFonts w:hint="eastAsia" w:ascii="宋体" w:hAnsi="宋体" w:eastAsia="宋体" w:cs="宋体"/>
                <w:kern w:val="0"/>
                <w:lang w:eastAsia="zh-CN"/>
              </w:rPr>
            </w:pPr>
            <w:r>
              <w:rPr>
                <w:rFonts w:hint="eastAsia" w:ascii="宋体" w:hAnsi="宋体" w:cs="宋体"/>
                <w:kern w:val="0"/>
              </w:rPr>
              <w:t>政府采购执行率</w:t>
            </w:r>
            <w:r>
              <w:rPr>
                <w:rFonts w:ascii="宋体" w:hAnsi="宋体" w:cs="宋体"/>
                <w:kern w:val="0"/>
              </w:rPr>
              <w:t>=</w:t>
            </w:r>
            <w:r>
              <w:rPr>
                <w:rFonts w:hint="eastAsia" w:ascii="宋体" w:hAnsi="宋体" w:cs="宋体"/>
                <w:kern w:val="0"/>
              </w:rPr>
              <w:t>（实际采购金额合计数</w:t>
            </w:r>
            <w:r>
              <w:rPr>
                <w:rFonts w:ascii="宋体" w:hAnsi="宋体" w:cs="宋体"/>
                <w:kern w:val="0"/>
              </w:rPr>
              <w:t>/</w:t>
            </w:r>
            <w:r>
              <w:rPr>
                <w:rFonts w:hint="eastAsia" w:ascii="宋体" w:hAnsi="宋体" w:cs="宋体"/>
                <w:kern w:val="0"/>
              </w:rPr>
              <w:t>采购计划金额合计数）×</w:t>
            </w:r>
            <w:r>
              <w:rPr>
                <w:rFonts w:ascii="宋体" w:hAnsi="宋体" w:cs="宋体"/>
                <w:kern w:val="0"/>
              </w:rPr>
              <w:t>100%</w:t>
            </w:r>
          </w:p>
          <w:p>
            <w:pPr>
              <w:widowControl/>
              <w:spacing w:line="320" w:lineRule="exact"/>
              <w:ind w:firstLine="405"/>
              <w:rPr>
                <w:rFonts w:hint="eastAsia" w:ascii="宋体" w:hAnsi="宋体" w:eastAsia="宋体" w:cs="宋体"/>
                <w:kern w:val="0"/>
                <w:lang w:eastAsia="zh-CN"/>
              </w:rPr>
            </w:pPr>
            <w:r>
              <w:rPr>
                <w:rFonts w:hint="eastAsia" w:ascii="宋体" w:hAnsi="宋体" w:cs="宋体"/>
                <w:kern w:val="0"/>
              </w:rPr>
              <w:t>如实际采购金额大于采购计划金额，本项得</w:t>
            </w:r>
            <w:r>
              <w:rPr>
                <w:rFonts w:ascii="宋体" w:cs="宋体"/>
                <w:kern w:val="0"/>
              </w:rPr>
              <w:t>0</w:t>
            </w:r>
            <w:r>
              <w:rPr>
                <w:rFonts w:hint="eastAsia" w:ascii="宋体" w:hAnsi="宋体" w:cs="宋体"/>
                <w:kern w:val="0"/>
              </w:rPr>
              <w:t>分。</w:t>
            </w:r>
          </w:p>
          <w:p>
            <w:pPr>
              <w:widowControl/>
              <w:spacing w:line="320" w:lineRule="exact"/>
              <w:ind w:firstLine="405"/>
              <w:rPr>
                <w:rFonts w:ascii="宋体"/>
                <w:kern w:val="0"/>
              </w:rPr>
            </w:pPr>
            <w:r>
              <w:rPr>
                <w:rFonts w:hint="eastAsia" w:ascii="宋体" w:hAnsi="宋体" w:cs="宋体"/>
                <w:kern w:val="0"/>
              </w:rPr>
              <w:t>政府采购预算是指采购机关根据事业发展计划和行政任务编制的</w:t>
            </w:r>
            <w:r>
              <w:rPr>
                <w:rFonts w:hint="eastAsia" w:ascii="宋体" w:hAnsi="宋体" w:cs="宋体"/>
                <w:kern w:val="0"/>
                <w:lang w:eastAsia="zh-CN"/>
              </w:rPr>
              <w:t>，</w:t>
            </w:r>
            <w:bookmarkStart w:id="1" w:name="_GoBack"/>
            <w:bookmarkEnd w:id="1"/>
            <w:r>
              <w:rPr>
                <w:rFonts w:hint="eastAsia" w:ascii="宋体" w:hAnsi="宋体" w:cs="宋体"/>
                <w:kern w:val="0"/>
              </w:rPr>
              <w:t>并经过规定程序批准的年度政府采购计划。</w:t>
            </w:r>
          </w:p>
          <w:p>
            <w:pPr>
              <w:widowControl/>
              <w:spacing w:line="320" w:lineRule="exact"/>
              <w:ind w:firstLine="405"/>
              <w:rPr>
                <w:rFonts w:ascii="宋体"/>
                <w:kern w:val="0"/>
              </w:rPr>
            </w:pPr>
            <w:r>
              <w:rPr>
                <w:rFonts w:ascii="宋体" w:hAnsi="宋体" w:cs="宋体"/>
                <w:kern w:val="0"/>
              </w:rPr>
              <w:t>2.</w:t>
            </w:r>
            <w:r>
              <w:rPr>
                <w:rFonts w:hint="eastAsia" w:ascii="宋体" w:hAnsi="宋体" w:cs="宋体"/>
                <w:kern w:val="0"/>
              </w:rPr>
              <w:t>政府采购政策功能的执行和落实情况（</w:t>
            </w:r>
            <w:r>
              <w:rPr>
                <w:rFonts w:ascii="宋体" w:hAnsi="宋体" w:cs="宋体"/>
                <w:kern w:val="0"/>
              </w:rPr>
              <w:t>1</w:t>
            </w:r>
            <w:r>
              <w:rPr>
                <w:rFonts w:hint="eastAsia" w:ascii="宋体" w:hAnsi="宋体" w:cs="宋体"/>
                <w:kern w:val="0"/>
              </w:rPr>
              <w:t>分），落实不到位的酌情扣分。</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81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财务合规性</w:t>
            </w:r>
          </w:p>
        </w:tc>
        <w:tc>
          <w:tcPr>
            <w:tcW w:w="56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single" w:color="auto" w:sz="4" w:space="0"/>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资金支出规范性，包括资金管理、费用支出等制度是否严格执行；资金调整、调剂是否规范；会计核算是否规范、是否存在支出依据不合规、虚列项目支出的情况；是否存在截留、挤占、挪用项目资金情况。</w:t>
            </w:r>
          </w:p>
        </w:tc>
        <w:tc>
          <w:tcPr>
            <w:tcW w:w="5812" w:type="dxa"/>
            <w:tcBorders>
              <w:top w:val="single" w:color="auto" w:sz="4" w:space="0"/>
              <w:left w:val="nil"/>
              <w:bottom w:val="single" w:color="auto" w:sz="4" w:space="0"/>
              <w:right w:val="single" w:color="auto" w:sz="4" w:space="0"/>
            </w:tcBorders>
            <w:vAlign w:val="center"/>
          </w:tcPr>
          <w:p>
            <w:pPr>
              <w:widowControl/>
              <w:spacing w:line="320" w:lineRule="exact"/>
              <w:ind w:firstLine="420"/>
              <w:rPr>
                <w:rFonts w:hint="eastAsia" w:ascii="宋体" w:hAnsi="宋体" w:eastAsia="宋体" w:cs="宋体"/>
                <w:kern w:val="0"/>
                <w:lang w:eastAsia="zh-CN"/>
              </w:rPr>
            </w:pPr>
            <w:r>
              <w:rPr>
                <w:rFonts w:ascii="宋体" w:hAnsi="宋体" w:cs="宋体"/>
                <w:kern w:val="0"/>
              </w:rPr>
              <w:t>1.</w:t>
            </w:r>
            <w:r>
              <w:rPr>
                <w:rFonts w:hint="eastAsia" w:ascii="宋体" w:hAnsi="宋体" w:cs="宋体"/>
                <w:kern w:val="0"/>
              </w:rPr>
              <w:t>资金支出规范性（</w:t>
            </w:r>
            <w:r>
              <w:rPr>
                <w:rFonts w:ascii="宋体" w:hAnsi="宋体" w:cs="宋体"/>
                <w:kern w:val="0"/>
              </w:rPr>
              <w:t>1</w:t>
            </w:r>
            <w:r>
              <w:rPr>
                <w:rFonts w:hint="eastAsia" w:ascii="宋体" w:hAnsi="宋体" w:cs="宋体"/>
                <w:kern w:val="0"/>
              </w:rPr>
              <w:t>分）。资金管理、费用标准、支付符合有关制度规定，按事项完成进度支付资金的，得</w:t>
            </w:r>
            <w:r>
              <w:rPr>
                <w:rFonts w:ascii="宋体" w:hAnsi="宋体" w:cs="宋体"/>
                <w:kern w:val="0"/>
              </w:rPr>
              <w:t>1</w:t>
            </w:r>
            <w:r>
              <w:rPr>
                <w:rFonts w:hint="eastAsia" w:ascii="宋体" w:hAnsi="宋体" w:cs="宋体"/>
                <w:kern w:val="0"/>
              </w:rPr>
              <w:t>分，否则酌情扣分。</w:t>
            </w:r>
          </w:p>
          <w:p>
            <w:pPr>
              <w:widowControl/>
              <w:spacing w:line="320" w:lineRule="exact"/>
              <w:ind w:firstLine="420"/>
              <w:rPr>
                <w:rFonts w:ascii="宋体"/>
                <w:kern w:val="0"/>
              </w:rPr>
            </w:pPr>
            <w:r>
              <w:rPr>
                <w:rFonts w:ascii="宋体" w:hAnsi="宋体" w:cs="宋体"/>
                <w:kern w:val="0"/>
              </w:rPr>
              <w:t xml:space="preserve">    2.</w:t>
            </w:r>
            <w:r>
              <w:rPr>
                <w:rFonts w:hint="eastAsia" w:ascii="宋体" w:hAnsi="宋体" w:cs="宋体"/>
                <w:kern w:val="0"/>
              </w:rPr>
              <w:t>资金调整、调剂规范性（</w:t>
            </w:r>
            <w:r>
              <w:rPr>
                <w:rFonts w:ascii="宋体" w:hAnsi="宋体" w:cs="宋体"/>
                <w:kern w:val="0"/>
              </w:rPr>
              <w:t>1</w:t>
            </w:r>
            <w:r>
              <w:rPr>
                <w:rFonts w:hint="eastAsia" w:ascii="宋体" w:hAnsi="宋体" w:cs="宋体"/>
                <w:kern w:val="0"/>
              </w:rPr>
              <w:t>分）。调整、调剂资金累计在本单位部门预算总规模</w:t>
            </w:r>
            <w:r>
              <w:rPr>
                <w:rFonts w:ascii="宋体" w:hAnsi="宋体" w:cs="宋体"/>
                <w:kern w:val="0"/>
              </w:rPr>
              <w:t>10%</w:t>
            </w:r>
            <w:r>
              <w:rPr>
                <w:rFonts w:hint="eastAsia" w:ascii="宋体" w:hAnsi="宋体" w:cs="宋体"/>
                <w:kern w:val="0"/>
              </w:rPr>
              <w:t>以内的，得</w:t>
            </w:r>
            <w:r>
              <w:rPr>
                <w:rFonts w:ascii="宋体" w:hAnsi="宋体" w:cs="宋体"/>
                <w:kern w:val="0"/>
              </w:rPr>
              <w:t>1</w:t>
            </w:r>
            <w:r>
              <w:rPr>
                <w:rFonts w:hint="eastAsia" w:ascii="宋体" w:hAnsi="宋体" w:cs="宋体"/>
                <w:kern w:val="0"/>
              </w:rPr>
              <w:t>分；超出</w:t>
            </w:r>
            <w:r>
              <w:rPr>
                <w:rFonts w:ascii="宋体" w:hAnsi="宋体" w:cs="宋体"/>
                <w:kern w:val="0"/>
              </w:rPr>
              <w:t>10%</w:t>
            </w:r>
            <w:r>
              <w:rPr>
                <w:rFonts w:hint="eastAsia" w:ascii="宋体" w:hAnsi="宋体" w:cs="宋体"/>
                <w:kern w:val="0"/>
              </w:rPr>
              <w:t>的，超出一个百分点扣</w:t>
            </w:r>
            <w:r>
              <w:rPr>
                <w:rFonts w:ascii="宋体" w:hAnsi="宋体" w:cs="宋体"/>
                <w:kern w:val="0"/>
              </w:rPr>
              <w:t>0.1</w:t>
            </w:r>
            <w:r>
              <w:rPr>
                <w:rFonts w:hint="eastAsia" w:ascii="宋体" w:hAnsi="宋体" w:cs="宋体"/>
                <w:kern w:val="0"/>
              </w:rPr>
              <w:t>分，直至</w:t>
            </w:r>
            <w:r>
              <w:rPr>
                <w:rFonts w:ascii="宋体" w:hAnsi="宋体" w:cs="宋体"/>
                <w:kern w:val="0"/>
              </w:rPr>
              <w:t>1</w:t>
            </w:r>
            <w:r>
              <w:rPr>
                <w:rFonts w:hint="eastAsia" w:ascii="宋体" w:hAnsi="宋体" w:cs="宋体"/>
                <w:kern w:val="0"/>
              </w:rPr>
              <w:t>分扣完为止。</w:t>
            </w:r>
          </w:p>
          <w:p>
            <w:pPr>
              <w:widowControl/>
              <w:spacing w:line="320" w:lineRule="exact"/>
              <w:ind w:firstLine="420" w:firstLineChars="200"/>
              <w:rPr>
                <w:rFonts w:ascii="宋体"/>
                <w:kern w:val="0"/>
              </w:rPr>
            </w:pPr>
            <w:r>
              <w:rPr>
                <w:rFonts w:ascii="宋体" w:hAnsi="宋体" w:cs="宋体"/>
                <w:kern w:val="0"/>
              </w:rPr>
              <w:t>3.</w:t>
            </w:r>
            <w:r>
              <w:rPr>
                <w:rFonts w:hint="eastAsia" w:ascii="宋体" w:hAnsi="宋体" w:cs="宋体"/>
                <w:kern w:val="0"/>
              </w:rPr>
              <w:t>会计核算规范性（</w:t>
            </w:r>
            <w:r>
              <w:rPr>
                <w:rFonts w:ascii="宋体" w:hAnsi="宋体" w:cs="宋体"/>
                <w:kern w:val="0"/>
              </w:rPr>
              <w:t>1</w:t>
            </w:r>
            <w:r>
              <w:rPr>
                <w:rFonts w:hint="eastAsia" w:ascii="宋体" w:hAnsi="宋体" w:cs="宋体"/>
                <w:kern w:val="0"/>
              </w:rPr>
              <w:t>分）。规范执行会计核算制度得</w:t>
            </w:r>
            <w:r>
              <w:rPr>
                <w:rFonts w:ascii="宋体" w:hAnsi="宋体" w:cs="宋体"/>
                <w:kern w:val="0"/>
              </w:rPr>
              <w:t>1</w:t>
            </w:r>
            <w:r>
              <w:rPr>
                <w:rFonts w:hint="eastAsia" w:ascii="宋体" w:hAnsi="宋体" w:cs="宋体"/>
                <w:kern w:val="0"/>
              </w:rPr>
              <w:t>分，未按规定设专账核算、支出凭证不符合规定或其他核算不规范，酌情扣分。</w:t>
            </w:r>
          </w:p>
          <w:p>
            <w:pPr>
              <w:widowControl/>
              <w:spacing w:line="320" w:lineRule="exact"/>
              <w:ind w:firstLine="420"/>
              <w:rPr>
                <w:rFonts w:ascii="宋体"/>
                <w:kern w:val="0"/>
              </w:rPr>
            </w:pPr>
            <w:r>
              <w:rPr>
                <w:rFonts w:ascii="宋体" w:hAnsi="宋体" w:cs="宋体"/>
                <w:kern w:val="0"/>
              </w:rPr>
              <w:t>4.</w:t>
            </w:r>
            <w:r>
              <w:rPr>
                <w:rFonts w:hint="eastAsia" w:ascii="宋体" w:hAnsi="宋体" w:cs="宋体"/>
                <w:kern w:val="0"/>
              </w:rPr>
              <w:t>发生超范围、超标准支出，虚列支出，截留、挤占、挪用资金的，以及其他不符合制度规定支出，本项指标得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429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预决算信息公开</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部门（单位）在被评价年度是否按照政府信息公开有关规定公开相关预决算信息，用以反映部门（单位）预决算管理的公开透明情况。</w:t>
            </w:r>
          </w:p>
        </w:tc>
        <w:tc>
          <w:tcPr>
            <w:tcW w:w="5812" w:type="dxa"/>
            <w:tcBorders>
              <w:top w:val="nil"/>
              <w:left w:val="nil"/>
              <w:bottom w:val="single" w:color="auto" w:sz="4" w:space="0"/>
              <w:right w:val="single" w:color="auto" w:sz="4" w:space="0"/>
            </w:tcBorders>
            <w:vAlign w:val="center"/>
          </w:tcPr>
          <w:p>
            <w:pPr>
              <w:ind w:firstLine="420" w:firstLineChars="200"/>
              <w:rPr>
                <w:rFonts w:hint="eastAsia" w:ascii="宋体" w:hAnsi="宋体" w:eastAsia="宋体"/>
                <w:lang w:eastAsia="zh-CN"/>
              </w:rPr>
            </w:pPr>
            <w:r>
              <w:rPr>
                <w:rFonts w:ascii="宋体" w:hAnsi="宋体"/>
              </w:rPr>
              <w:t>1.</w:t>
            </w:r>
            <w:r>
              <w:rPr>
                <w:rFonts w:hint="eastAsia" w:ascii="宋体" w:hAnsi="宋体"/>
              </w:rPr>
              <w:t>部门预算公开（</w:t>
            </w:r>
            <w:r>
              <w:rPr>
                <w:rFonts w:ascii="宋体" w:hAnsi="宋体"/>
              </w:rPr>
              <w:t>1.5</w:t>
            </w:r>
            <w:r>
              <w:rPr>
                <w:rFonts w:hint="eastAsia" w:ascii="宋体" w:hAnsi="宋体"/>
              </w:rPr>
              <w:t>分），按以下标准分档计分：</w:t>
            </w:r>
          </w:p>
          <w:p>
            <w:pPr>
              <w:ind w:firstLine="420" w:firstLineChars="200"/>
              <w:rPr>
                <w:rFonts w:hint="eastAsia" w:ascii="宋体" w:hAnsi="宋体" w:eastAsia="宋体"/>
                <w:lang w:eastAsia="zh-CN"/>
              </w:rPr>
            </w:pPr>
            <w:r>
              <w:rPr>
                <w:rFonts w:hint="eastAsia" w:ascii="宋体" w:hAnsi="宋体"/>
              </w:rPr>
              <w:t>（</w:t>
            </w:r>
            <w:r>
              <w:rPr>
                <w:rFonts w:ascii="宋体" w:hAnsi="宋体"/>
              </w:rPr>
              <w:t>1</w:t>
            </w:r>
            <w:r>
              <w:rPr>
                <w:rFonts w:hint="eastAsia" w:ascii="宋体" w:hAnsi="宋体"/>
              </w:rPr>
              <w:t>）按规定内容、时限、范围等各项要求进行公开的，得</w:t>
            </w:r>
            <w:r>
              <w:rPr>
                <w:rFonts w:ascii="宋体" w:hAnsi="宋体"/>
              </w:rPr>
              <w:t>1.5</w:t>
            </w:r>
            <w:r>
              <w:rPr>
                <w:rFonts w:hint="eastAsia" w:ascii="宋体" w:hAnsi="宋体"/>
              </w:rPr>
              <w:t>分。</w:t>
            </w:r>
          </w:p>
          <w:p>
            <w:pPr>
              <w:ind w:firstLine="420" w:firstLineChars="200"/>
              <w:rPr>
                <w:rFonts w:hint="eastAsia" w:ascii="宋体" w:hAnsi="宋体" w:eastAsia="宋体"/>
                <w:lang w:eastAsia="zh-CN"/>
              </w:rPr>
            </w:pPr>
            <w:r>
              <w:rPr>
                <w:rFonts w:hint="eastAsia" w:ascii="宋体" w:hAnsi="宋体"/>
              </w:rPr>
              <w:t>（</w:t>
            </w:r>
            <w:r>
              <w:rPr>
                <w:rFonts w:ascii="宋体" w:hAnsi="宋体"/>
              </w:rPr>
              <w:t>2</w:t>
            </w:r>
            <w:r>
              <w:rPr>
                <w:rFonts w:hint="eastAsia" w:ascii="宋体" w:hAnsi="宋体"/>
              </w:rPr>
              <w:t>）进行了公开，存在不符合时限、内容、范围等要求的，得</w:t>
            </w:r>
            <w:r>
              <w:rPr>
                <w:rFonts w:ascii="宋体" w:hAnsi="宋体"/>
              </w:rPr>
              <w:t>1</w:t>
            </w:r>
            <w:r>
              <w:rPr>
                <w:rFonts w:hint="eastAsia" w:ascii="宋体" w:hAnsi="宋体"/>
              </w:rPr>
              <w:t>分。</w:t>
            </w:r>
          </w:p>
          <w:p>
            <w:pPr>
              <w:ind w:firstLine="420" w:firstLineChars="200"/>
              <w:rPr>
                <w:rFonts w:hint="eastAsia" w:ascii="宋体" w:hAnsi="宋体" w:eastAsia="宋体"/>
                <w:lang w:eastAsia="zh-CN"/>
              </w:rPr>
            </w:pPr>
            <w:r>
              <w:rPr>
                <w:rFonts w:hint="eastAsia" w:ascii="宋体" w:hAnsi="宋体"/>
              </w:rPr>
              <w:t>（</w:t>
            </w:r>
            <w:r>
              <w:rPr>
                <w:rFonts w:ascii="宋体" w:hAnsi="宋体"/>
              </w:rPr>
              <w:t>3</w:t>
            </w:r>
            <w:r>
              <w:rPr>
                <w:rFonts w:hint="eastAsia" w:ascii="宋体" w:hAnsi="宋体"/>
              </w:rPr>
              <w:t>）没有进行公开的，得</w:t>
            </w:r>
            <w:r>
              <w:rPr>
                <w:rFonts w:ascii="宋体" w:hAnsi="宋体"/>
              </w:rPr>
              <w:t>0</w:t>
            </w:r>
            <w:r>
              <w:rPr>
                <w:rFonts w:hint="eastAsia" w:ascii="宋体" w:hAnsi="宋体"/>
              </w:rPr>
              <w:t>分。</w:t>
            </w:r>
          </w:p>
          <w:p>
            <w:pPr>
              <w:ind w:firstLine="420" w:firstLineChars="200"/>
              <w:rPr>
                <w:rFonts w:hint="eastAsia" w:ascii="宋体" w:hAnsi="宋体" w:eastAsia="宋体"/>
                <w:lang w:eastAsia="zh-CN"/>
              </w:rPr>
            </w:pPr>
            <w:r>
              <w:rPr>
                <w:rFonts w:ascii="宋体" w:hAnsi="宋体"/>
              </w:rPr>
              <w:t xml:space="preserve">    2.</w:t>
            </w:r>
            <w:r>
              <w:rPr>
                <w:rFonts w:hint="eastAsia" w:ascii="宋体" w:hAnsi="宋体"/>
              </w:rPr>
              <w:t>部门决算公开（</w:t>
            </w:r>
            <w:r>
              <w:rPr>
                <w:rFonts w:ascii="宋体" w:hAnsi="宋体"/>
              </w:rPr>
              <w:t>1.5</w:t>
            </w:r>
            <w:r>
              <w:rPr>
                <w:rFonts w:hint="eastAsia" w:ascii="宋体" w:hAnsi="宋体"/>
              </w:rPr>
              <w:t>分），按以下标准分档计分：</w:t>
            </w:r>
          </w:p>
          <w:p>
            <w:pPr>
              <w:ind w:firstLine="420" w:firstLineChars="200"/>
              <w:rPr>
                <w:rFonts w:hint="eastAsia" w:ascii="宋体" w:hAnsi="宋体" w:eastAsia="宋体"/>
                <w:lang w:eastAsia="zh-CN"/>
              </w:rPr>
            </w:pPr>
            <w:r>
              <w:rPr>
                <w:rFonts w:hint="eastAsia" w:ascii="宋体" w:hAnsi="宋体"/>
              </w:rPr>
              <w:t>（</w:t>
            </w:r>
            <w:r>
              <w:rPr>
                <w:rFonts w:ascii="宋体" w:hAnsi="宋体"/>
              </w:rPr>
              <w:t>1</w:t>
            </w:r>
            <w:r>
              <w:rPr>
                <w:rFonts w:hint="eastAsia" w:ascii="宋体" w:hAnsi="宋体"/>
              </w:rPr>
              <w:t>）按规定内容、时限、范围等各项要求进行公开的，得</w:t>
            </w:r>
            <w:r>
              <w:rPr>
                <w:rFonts w:ascii="宋体" w:hAnsi="宋体"/>
              </w:rPr>
              <w:t>1.5</w:t>
            </w:r>
            <w:r>
              <w:rPr>
                <w:rFonts w:hint="eastAsia" w:ascii="宋体" w:hAnsi="宋体"/>
              </w:rPr>
              <w:t>分。</w:t>
            </w:r>
          </w:p>
          <w:p>
            <w:pPr>
              <w:ind w:firstLine="420" w:firstLineChars="200"/>
              <w:rPr>
                <w:rFonts w:hint="eastAsia" w:ascii="宋体" w:hAnsi="宋体" w:eastAsia="宋体"/>
                <w:lang w:eastAsia="zh-CN"/>
              </w:rPr>
            </w:pPr>
            <w:r>
              <w:rPr>
                <w:rFonts w:hint="eastAsia" w:ascii="宋体" w:hAnsi="宋体"/>
              </w:rPr>
              <w:t>（</w:t>
            </w:r>
            <w:r>
              <w:rPr>
                <w:rFonts w:ascii="宋体" w:hAnsi="宋体"/>
              </w:rPr>
              <w:t>2</w:t>
            </w:r>
            <w:r>
              <w:rPr>
                <w:rFonts w:hint="eastAsia" w:ascii="宋体" w:hAnsi="宋体"/>
              </w:rPr>
              <w:t>）进行了公开，存在不符合时限、内容、范围等要求的，得</w:t>
            </w:r>
            <w:r>
              <w:rPr>
                <w:rFonts w:ascii="宋体" w:hAnsi="宋体"/>
              </w:rPr>
              <w:t>1</w:t>
            </w:r>
            <w:r>
              <w:rPr>
                <w:rFonts w:hint="eastAsia" w:ascii="宋体" w:hAnsi="宋体"/>
              </w:rPr>
              <w:t>分。</w:t>
            </w:r>
          </w:p>
          <w:p>
            <w:pPr>
              <w:ind w:firstLine="420" w:firstLineChars="200"/>
              <w:rPr>
                <w:rFonts w:ascii="宋体" w:hAnsi="宋体"/>
              </w:rPr>
            </w:pPr>
            <w:r>
              <w:rPr>
                <w:rFonts w:hint="eastAsia" w:ascii="宋体" w:hAnsi="宋体"/>
              </w:rPr>
              <w:t>（</w:t>
            </w:r>
            <w:r>
              <w:rPr>
                <w:rFonts w:ascii="宋体" w:hAnsi="宋体"/>
              </w:rPr>
              <w:t>3</w:t>
            </w:r>
            <w:r>
              <w:rPr>
                <w:rFonts w:hint="eastAsia" w:ascii="宋体" w:hAnsi="宋体"/>
              </w:rPr>
              <w:t>）没有进行公开的，得</w:t>
            </w:r>
            <w:r>
              <w:rPr>
                <w:rFonts w:ascii="宋体" w:hAnsi="宋体"/>
              </w:rPr>
              <w:t>0</w:t>
            </w:r>
            <w:r>
              <w:rPr>
                <w:rFonts w:hint="eastAsia" w:ascii="宋体" w:hAnsi="宋体"/>
              </w:rPr>
              <w:t>分。</w:t>
            </w:r>
          </w:p>
          <w:p>
            <w:pPr>
              <w:rPr>
                <w:rFonts w:ascii="宋体" w:hAnsi="宋体"/>
              </w:rPr>
            </w:pPr>
            <w:r>
              <w:rPr>
                <w:rFonts w:ascii="宋体" w:hAnsi="宋体"/>
              </w:rPr>
              <w:t xml:space="preserve">    3.</w:t>
            </w:r>
            <w:r>
              <w:rPr>
                <w:rFonts w:hint="eastAsia" w:ascii="宋体" w:hAnsi="宋体"/>
              </w:rPr>
              <w:t>涉密部门（单位）按规定不需要公开相关预决算信息的直接得分。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49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4</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项目实施程序</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部门（单位）所有项目支出实施过程是否规范</w:t>
            </w:r>
            <w:r>
              <w:rPr>
                <w:rFonts w:ascii="宋体" w:cs="宋体"/>
                <w:kern w:val="0"/>
              </w:rPr>
              <w:t>,</w:t>
            </w:r>
            <w:r>
              <w:rPr>
                <w:rFonts w:hint="eastAsia" w:ascii="宋体" w:hAnsi="宋体" w:cs="宋体"/>
                <w:kern w:val="0"/>
              </w:rPr>
              <w:t>包括是否符合申报条件；申报、批复程序是否符合相关管理办法；项目招投标、调整、完成验收等是否履行相应手续等。</w:t>
            </w:r>
          </w:p>
        </w:tc>
        <w:tc>
          <w:tcPr>
            <w:tcW w:w="5812" w:type="dxa"/>
            <w:tcBorders>
              <w:top w:val="nil"/>
              <w:left w:val="nil"/>
              <w:bottom w:val="single" w:color="auto" w:sz="4" w:space="0"/>
              <w:right w:val="single" w:color="auto" w:sz="4" w:space="0"/>
            </w:tcBorders>
            <w:vAlign w:val="center"/>
          </w:tcPr>
          <w:p>
            <w:pPr>
              <w:widowControl/>
              <w:spacing w:line="320" w:lineRule="exact"/>
              <w:rPr>
                <w:rFonts w:hint="eastAsia" w:ascii="宋体" w:hAnsi="宋体" w:eastAsia="宋体" w:cs="宋体"/>
                <w:kern w:val="0"/>
                <w:lang w:eastAsia="zh-CN"/>
              </w:rPr>
            </w:pPr>
            <w:r>
              <w:rPr>
                <w:rFonts w:ascii="宋体" w:hAnsi="宋体" w:cs="宋体"/>
                <w:kern w:val="0"/>
              </w:rPr>
              <w:t xml:space="preserve">    1.</w:t>
            </w:r>
            <w:r>
              <w:rPr>
                <w:rFonts w:hint="eastAsia" w:ascii="宋体" w:hAnsi="宋体" w:cs="宋体"/>
                <w:kern w:val="0"/>
              </w:rPr>
              <w:t>项目的设立、调整按规定履行报批程序（</w:t>
            </w:r>
            <w:r>
              <w:rPr>
                <w:rFonts w:ascii="宋体" w:hAnsi="宋体" w:cs="宋体"/>
                <w:kern w:val="0"/>
              </w:rPr>
              <w:t>1</w:t>
            </w:r>
            <w:r>
              <w:rPr>
                <w:rFonts w:hint="eastAsia" w:ascii="宋体" w:hAnsi="宋体" w:cs="宋体"/>
                <w:kern w:val="0"/>
              </w:rPr>
              <w:t>分）；</w:t>
            </w:r>
          </w:p>
          <w:p>
            <w:pPr>
              <w:widowControl/>
              <w:spacing w:line="320" w:lineRule="exact"/>
              <w:rPr>
                <w:rFonts w:ascii="宋体"/>
                <w:kern w:val="0"/>
              </w:rPr>
            </w:pPr>
            <w:r>
              <w:rPr>
                <w:rFonts w:ascii="宋体" w:hAnsi="宋体" w:cs="宋体"/>
                <w:kern w:val="0"/>
              </w:rPr>
              <w:t xml:space="preserve">    2.</w:t>
            </w:r>
            <w:r>
              <w:rPr>
                <w:rFonts w:hint="eastAsia" w:ascii="宋体" w:hAnsi="宋体" w:cs="宋体"/>
                <w:kern w:val="0"/>
              </w:rPr>
              <w:t>项目招投标、建设、验收以及方案实施均严格执行相关制度规定（</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52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w:t>
            </w:r>
          </w:p>
          <w:p>
            <w:pPr>
              <w:widowControl/>
              <w:spacing w:line="320" w:lineRule="exact"/>
              <w:jc w:val="left"/>
              <w:rPr>
                <w:rFonts w:ascii="宋体"/>
                <w:kern w:val="0"/>
              </w:rPr>
            </w:pPr>
            <w:r>
              <w:rPr>
                <w:rFonts w:hint="eastAsia" w:ascii="宋体" w:hAnsi="宋体" w:cs="宋体"/>
                <w:kern w:val="0"/>
              </w:rPr>
              <w:t>监管</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部门（单位）对所实施项目（包括部门主管的专项资金和专项经费分配给区级各部门实施的项目）的检查、监控、督促整改等管理情况。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rPr>
                <w:rFonts w:hint="eastAsia" w:ascii="宋体" w:hAnsi="宋体" w:eastAsia="宋体" w:cs="宋体"/>
                <w:kern w:val="0"/>
                <w:lang w:eastAsia="zh-CN"/>
              </w:rPr>
            </w:pPr>
            <w:r>
              <w:rPr>
                <w:rFonts w:ascii="宋体" w:hAnsi="宋体" w:cs="宋体"/>
                <w:kern w:val="0"/>
              </w:rPr>
              <w:t>1.</w:t>
            </w:r>
            <w:r>
              <w:rPr>
                <w:rFonts w:hint="eastAsia" w:ascii="宋体" w:hAnsi="宋体" w:cs="宋体"/>
                <w:kern w:val="0"/>
              </w:rPr>
              <w:t>资金使用单位、基层资金管理单位建立有效资金管理和绩效运行监控机制，且执行情况良好（</w:t>
            </w:r>
            <w:r>
              <w:rPr>
                <w:rFonts w:ascii="宋体" w:hAnsi="宋体" w:cs="宋体"/>
                <w:kern w:val="0"/>
              </w:rPr>
              <w:t>1</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 xml:space="preserve">    2.</w:t>
            </w:r>
            <w:r>
              <w:rPr>
                <w:rFonts w:hint="eastAsia" w:ascii="宋体" w:hAnsi="宋体" w:cs="宋体"/>
                <w:kern w:val="0"/>
              </w:rPr>
              <w:t>各主管部门按规定对主管的财政资金（含专项资金和专项经费）开展有效的检查、监控、督促整改（</w:t>
            </w:r>
            <w:r>
              <w:rPr>
                <w:rFonts w:ascii="宋体" w:hAnsi="宋体" w:cs="宋体"/>
                <w:kern w:val="0"/>
              </w:rPr>
              <w:t>1</w:t>
            </w:r>
            <w:r>
              <w:rPr>
                <w:rFonts w:hint="eastAsia" w:ascii="宋体" w:hAnsi="宋体" w:cs="宋体"/>
                <w:kern w:val="0"/>
              </w:rPr>
              <w:t>分），如无法提供开展检查监督相关证明材料，或被评价年度部门主管的专项资金绩效评价结果为差的，得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136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资产管理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资产管理安全性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部门（单位）的资产是否保存完整、使用合规、配置合理、处置规范、收入及时足额上缴，用于反映和考核部门（单位）资产安全运行情况。</w:t>
            </w:r>
          </w:p>
        </w:tc>
        <w:tc>
          <w:tcPr>
            <w:tcW w:w="5812" w:type="dxa"/>
            <w:tcBorders>
              <w:top w:val="nil"/>
              <w:left w:val="nil"/>
              <w:bottom w:val="single" w:color="auto" w:sz="4" w:space="0"/>
              <w:right w:val="single" w:color="auto" w:sz="4" w:space="0"/>
            </w:tcBorders>
            <w:vAlign w:val="center"/>
          </w:tcPr>
          <w:p>
            <w:pPr>
              <w:widowControl/>
              <w:spacing w:line="320" w:lineRule="exact"/>
              <w:rPr>
                <w:rFonts w:hint="eastAsia" w:ascii="宋体" w:hAnsi="宋体" w:eastAsia="宋体" w:cs="宋体"/>
                <w:kern w:val="0"/>
                <w:lang w:eastAsia="zh-CN"/>
              </w:rPr>
            </w:pPr>
            <w:r>
              <w:rPr>
                <w:rFonts w:ascii="宋体" w:hAnsi="宋体" w:cs="宋体"/>
                <w:kern w:val="0"/>
              </w:rPr>
              <w:t xml:space="preserve">    1.</w:t>
            </w:r>
            <w:r>
              <w:rPr>
                <w:rFonts w:hint="eastAsia" w:ascii="宋体" w:hAnsi="宋体" w:cs="宋体"/>
                <w:kern w:val="0"/>
              </w:rPr>
              <w:t>资产配置合理、保管完整，账实相符（</w:t>
            </w:r>
            <w:r>
              <w:rPr>
                <w:rFonts w:ascii="宋体" w:hAnsi="宋体" w:cs="宋体"/>
                <w:kern w:val="0"/>
              </w:rPr>
              <w:t>1</w:t>
            </w:r>
            <w:r>
              <w:rPr>
                <w:rFonts w:hint="eastAsia" w:ascii="宋体" w:hAnsi="宋体" w:cs="宋体"/>
                <w:kern w:val="0"/>
              </w:rPr>
              <w:t>分）；</w:t>
            </w:r>
          </w:p>
          <w:p>
            <w:pPr>
              <w:widowControl/>
              <w:spacing w:line="320" w:lineRule="exact"/>
              <w:rPr>
                <w:rFonts w:ascii="宋体"/>
                <w:kern w:val="0"/>
              </w:rPr>
            </w:pPr>
            <w:r>
              <w:rPr>
                <w:rFonts w:ascii="宋体" w:hAnsi="宋体" w:cs="宋体"/>
                <w:kern w:val="0"/>
              </w:rPr>
              <w:t xml:space="preserve">    2.</w:t>
            </w:r>
            <w:r>
              <w:rPr>
                <w:rFonts w:hint="eastAsia" w:ascii="宋体" w:hAnsi="宋体" w:cs="宋体"/>
                <w:kern w:val="0"/>
              </w:rPr>
              <w:t>资产处置规范，有偿使用及处置收入及时足额上缴（</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31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固定资产利用率</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部门（单位）实际在用固定资产总额与所有固定资产总额的比例，用以反映和考核部门（单位）固定资产使用效率程度。</w:t>
            </w:r>
          </w:p>
        </w:tc>
        <w:tc>
          <w:tcPr>
            <w:tcW w:w="5812" w:type="dxa"/>
            <w:tcBorders>
              <w:top w:val="nil"/>
              <w:left w:val="nil"/>
              <w:bottom w:val="single" w:color="auto" w:sz="4" w:space="0"/>
              <w:right w:val="single" w:color="auto" w:sz="4" w:space="0"/>
            </w:tcBorders>
            <w:vAlign w:val="center"/>
          </w:tcPr>
          <w:p>
            <w:pPr>
              <w:widowControl/>
              <w:spacing w:line="300" w:lineRule="exact"/>
              <w:ind w:firstLine="420" w:firstLineChars="200"/>
              <w:rPr>
                <w:rFonts w:ascii="宋体" w:hAnsi="宋体" w:cs="宋体"/>
                <w:kern w:val="0"/>
              </w:rPr>
            </w:pPr>
            <w:r>
              <w:rPr>
                <w:rFonts w:hint="eastAsia" w:ascii="宋体" w:hAnsi="宋体" w:cs="宋体"/>
                <w:kern w:val="0"/>
              </w:rPr>
              <w:t>固定资产利用率</w:t>
            </w:r>
            <w:r>
              <w:rPr>
                <w:rFonts w:ascii="宋体" w:hAnsi="宋体" w:cs="宋体"/>
                <w:kern w:val="0"/>
              </w:rPr>
              <w:t>=</w:t>
            </w:r>
            <w:r>
              <w:rPr>
                <w:rFonts w:hint="eastAsia" w:ascii="宋体" w:hAnsi="宋体" w:cs="宋体"/>
                <w:kern w:val="0"/>
              </w:rPr>
              <w:t>（实际在用固定资产总额</w:t>
            </w:r>
            <w:r>
              <w:rPr>
                <w:rFonts w:ascii="宋体" w:hAnsi="宋体" w:cs="宋体"/>
                <w:kern w:val="0"/>
              </w:rPr>
              <w:t>/</w:t>
            </w:r>
            <w:r>
              <w:rPr>
                <w:rFonts w:hint="eastAsia" w:ascii="宋体" w:hAnsi="宋体" w:cs="宋体"/>
                <w:kern w:val="0"/>
              </w:rPr>
              <w:t>所有固定资产总额）×</w:t>
            </w:r>
            <w:r>
              <w:rPr>
                <w:rFonts w:ascii="宋体" w:hAnsi="宋体" w:cs="宋体"/>
                <w:kern w:val="0"/>
              </w:rPr>
              <w:t xml:space="preserve">100%    </w:t>
            </w:r>
          </w:p>
          <w:p>
            <w:pPr>
              <w:widowControl/>
              <w:spacing w:line="300" w:lineRule="exact"/>
              <w:ind w:firstLine="420" w:firstLineChars="200"/>
              <w:rPr>
                <w:rFonts w:hint="eastAsia" w:ascii="宋体" w:hAnsi="宋体" w:eastAsia="宋体" w:cs="宋体"/>
                <w:kern w:val="0"/>
                <w:lang w:eastAsia="zh-CN"/>
              </w:rPr>
            </w:pPr>
            <w:r>
              <w:rPr>
                <w:rFonts w:ascii="宋体" w:hAnsi="宋体" w:cs="宋体"/>
                <w:kern w:val="0"/>
              </w:rPr>
              <w:t>1.</w:t>
            </w:r>
            <w:r>
              <w:rPr>
                <w:rFonts w:hint="eastAsia" w:ascii="宋体" w:hAnsi="宋体" w:cs="宋体"/>
                <w:kern w:val="0"/>
              </w:rPr>
              <w:t>固定资产利用率≥</w:t>
            </w:r>
            <w:r>
              <w:rPr>
                <w:rFonts w:ascii="宋体" w:hAnsi="宋体" w:cs="宋体"/>
                <w:kern w:val="0"/>
              </w:rPr>
              <w:t>90%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ind w:firstLine="420" w:firstLineChars="200"/>
              <w:rPr>
                <w:rFonts w:hint="eastAsia" w:ascii="宋体" w:hAnsi="宋体" w:eastAsia="宋体" w:cs="宋体"/>
                <w:kern w:val="0"/>
                <w:lang w:eastAsia="zh-CN"/>
              </w:rPr>
            </w:pPr>
            <w:r>
              <w:rPr>
                <w:rFonts w:ascii="宋体" w:hAnsi="宋体" w:cs="宋体"/>
                <w:kern w:val="0"/>
              </w:rPr>
              <w:t xml:space="preserve">    2.90%</w:t>
            </w:r>
            <w:r>
              <w:rPr>
                <w:rFonts w:hint="eastAsia" w:ascii="宋体" w:hAnsi="宋体" w:cs="宋体"/>
                <w:kern w:val="0"/>
              </w:rPr>
              <w:t>＞固定资产利用率≥</w:t>
            </w:r>
            <w:r>
              <w:rPr>
                <w:rFonts w:ascii="宋体" w:hAnsi="宋体" w:cs="宋体"/>
                <w:kern w:val="0"/>
              </w:rPr>
              <w:t>75%</w:t>
            </w:r>
            <w:r>
              <w:rPr>
                <w:rFonts w:hint="eastAsia" w:ascii="宋体" w:hAnsi="宋体" w:cs="宋体"/>
                <w:kern w:val="0"/>
              </w:rPr>
              <w:t>的，得</w:t>
            </w:r>
            <w:r>
              <w:rPr>
                <w:rFonts w:ascii="宋体" w:hAnsi="宋体" w:cs="宋体"/>
                <w:kern w:val="0"/>
              </w:rPr>
              <w:t>0.7</w:t>
            </w:r>
            <w:r>
              <w:rPr>
                <w:rFonts w:hint="eastAsia" w:ascii="宋体" w:hAnsi="宋体" w:cs="宋体"/>
                <w:kern w:val="0"/>
              </w:rPr>
              <w:t>分；</w:t>
            </w:r>
          </w:p>
          <w:p>
            <w:pPr>
              <w:widowControl/>
              <w:spacing w:line="300" w:lineRule="exact"/>
              <w:ind w:firstLine="420" w:firstLineChars="200"/>
              <w:rPr>
                <w:rFonts w:hint="eastAsia" w:ascii="宋体" w:hAnsi="宋体" w:eastAsia="宋体" w:cs="宋体"/>
                <w:kern w:val="0"/>
                <w:lang w:eastAsia="zh-CN"/>
              </w:rPr>
            </w:pPr>
            <w:r>
              <w:rPr>
                <w:rFonts w:ascii="宋体" w:hAnsi="宋体" w:cs="宋体"/>
                <w:kern w:val="0"/>
              </w:rPr>
              <w:t xml:space="preserve">    3.75%</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cs="宋体"/>
                <w:kern w:val="0"/>
              </w:rPr>
              <w:t>0.</w:t>
            </w:r>
            <w:r>
              <w:rPr>
                <w:rFonts w:ascii="宋体" w:hAnsi="宋体" w:cs="宋体"/>
                <w:kern w:val="0"/>
              </w:rPr>
              <w:t>4</w:t>
            </w:r>
            <w:r>
              <w:rPr>
                <w:rFonts w:hint="eastAsia" w:ascii="宋体" w:hAnsi="宋体" w:cs="宋体"/>
                <w:kern w:val="0"/>
              </w:rPr>
              <w:t>分；</w:t>
            </w:r>
          </w:p>
          <w:p>
            <w:pPr>
              <w:widowControl/>
              <w:spacing w:line="300" w:lineRule="exact"/>
              <w:ind w:firstLine="420" w:firstLineChars="200"/>
              <w:rPr>
                <w:rFonts w:ascii="宋体"/>
                <w:kern w:val="0"/>
              </w:rPr>
            </w:pPr>
            <w:r>
              <w:rPr>
                <w:rFonts w:ascii="宋体" w:hAnsi="宋体" w:cs="宋体"/>
                <w:kern w:val="0"/>
              </w:rPr>
              <w:t xml:space="preserve">    4.</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1</w:t>
            </w:r>
          </w:p>
        </w:tc>
        <w:tc>
          <w:tcPr>
            <w:tcW w:w="2297" w:type="dxa"/>
            <w:tcBorders>
              <w:top w:val="nil"/>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300"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人员管理</w:t>
            </w:r>
          </w:p>
        </w:tc>
        <w:tc>
          <w:tcPr>
            <w:tcW w:w="567" w:type="dxa"/>
            <w:vMerge w:val="restart"/>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85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kern w:val="0"/>
                <w:sz w:val="18"/>
                <w:szCs w:val="18"/>
              </w:rPr>
            </w:pPr>
            <w:r>
              <w:rPr>
                <w:rFonts w:hint="eastAsia" w:ascii="宋体" w:hAnsi="宋体" w:cs="宋体"/>
                <w:kern w:val="0"/>
              </w:rPr>
              <w:t>财政供养人员控制率</w:t>
            </w:r>
          </w:p>
        </w:tc>
        <w:tc>
          <w:tcPr>
            <w:tcW w:w="567"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kern w:val="0"/>
                <w:sz w:val="18"/>
                <w:szCs w:val="18"/>
              </w:rPr>
            </w:pPr>
            <w:r>
              <w:rPr>
                <w:rFonts w:ascii="宋体" w:hAnsi="宋体" w:cs="宋体"/>
                <w:kern w:val="0"/>
              </w:rPr>
              <w:t>1</w:t>
            </w:r>
          </w:p>
        </w:tc>
        <w:tc>
          <w:tcPr>
            <w:tcW w:w="2536" w:type="dxa"/>
            <w:tcBorders>
              <w:top w:val="single" w:color="auto" w:sz="4" w:space="0"/>
              <w:left w:val="nil"/>
              <w:bottom w:val="single" w:color="auto" w:sz="4" w:space="0"/>
              <w:right w:val="single" w:color="auto" w:sz="4" w:space="0"/>
            </w:tcBorders>
            <w:vAlign w:val="center"/>
          </w:tcPr>
          <w:p>
            <w:pPr>
              <w:widowControl/>
              <w:spacing w:line="300" w:lineRule="exact"/>
              <w:rPr>
                <w:rFonts w:ascii="宋体"/>
                <w:kern w:val="0"/>
                <w:sz w:val="18"/>
                <w:szCs w:val="18"/>
              </w:rPr>
            </w:pPr>
            <w:r>
              <w:rPr>
                <w:rFonts w:hint="eastAsia" w:ascii="宋体" w:hAnsi="宋体" w:cs="宋体"/>
                <w:kern w:val="0"/>
              </w:rPr>
              <w:t>部门（单位）本年度在编人数（含工勤人员）与核定编制数（含工勤人员）的比率。</w:t>
            </w:r>
          </w:p>
        </w:tc>
        <w:tc>
          <w:tcPr>
            <w:tcW w:w="5812"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kern w:val="0"/>
                <w:sz w:val="18"/>
                <w:szCs w:val="18"/>
              </w:rPr>
            </w:pPr>
            <w:r>
              <w:rPr>
                <w:rFonts w:hint="eastAsia" w:ascii="宋体" w:hAnsi="宋体" w:cs="宋体"/>
                <w:kern w:val="0"/>
              </w:rPr>
              <w:t>财政供养人员控制率</w:t>
            </w:r>
            <w:r>
              <w:rPr>
                <w:rFonts w:ascii="宋体" w:hAnsi="宋体" w:cs="宋体"/>
                <w:kern w:val="0"/>
              </w:rPr>
              <w:t>=</w:t>
            </w:r>
            <w:r>
              <w:rPr>
                <w:rFonts w:hint="eastAsia" w:ascii="宋体" w:hAnsi="宋体" w:cs="宋体"/>
                <w:kern w:val="0"/>
              </w:rPr>
              <w:t>本年度在编人数（含工勤人员）</w:t>
            </w:r>
            <w:r>
              <w:rPr>
                <w:rFonts w:ascii="宋体" w:hAnsi="宋体" w:cs="宋体"/>
                <w:kern w:val="0"/>
              </w:rPr>
              <w:t>/</w:t>
            </w:r>
            <w:r>
              <w:rPr>
                <w:rFonts w:hint="eastAsia" w:ascii="宋体" w:hAnsi="宋体" w:cs="宋体"/>
                <w:kern w:val="0"/>
              </w:rPr>
              <w:t>核定编制数（含工勤人员）</w:t>
            </w:r>
          </w:p>
          <w:p>
            <w:pPr>
              <w:widowControl/>
              <w:spacing w:line="300" w:lineRule="exact"/>
              <w:rPr>
                <w:rFonts w:ascii="宋体"/>
                <w:kern w:val="0"/>
                <w:sz w:val="18"/>
                <w:szCs w:val="18"/>
              </w:rPr>
            </w:pPr>
            <w:r>
              <w:rPr>
                <w:rFonts w:ascii="宋体" w:hAnsi="宋体" w:cs="宋体"/>
                <w:kern w:val="0"/>
              </w:rPr>
              <w:t xml:space="preserve">   1.</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rPr>
                <w:rFonts w:ascii="宋体"/>
                <w:kern w:val="0"/>
                <w:sz w:val="18"/>
                <w:szCs w:val="18"/>
              </w:rPr>
            </w:pPr>
            <w:r>
              <w:rPr>
                <w:rFonts w:ascii="宋体" w:cs="宋体"/>
                <w:kern w:val="0"/>
              </w:rPr>
              <w:t xml:space="preserve">   2.</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1</w:t>
            </w:r>
          </w:p>
        </w:tc>
        <w:tc>
          <w:tcPr>
            <w:tcW w:w="2297" w:type="dxa"/>
            <w:tcBorders>
              <w:top w:val="single" w:color="auto" w:sz="4" w:space="0"/>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26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编外人员控制率</w:t>
            </w:r>
          </w:p>
        </w:tc>
        <w:tc>
          <w:tcPr>
            <w:tcW w:w="567"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w:t>
            </w:r>
          </w:p>
        </w:tc>
        <w:tc>
          <w:tcPr>
            <w:tcW w:w="2536" w:type="dxa"/>
            <w:tcBorders>
              <w:top w:val="single" w:color="auto" w:sz="4" w:space="0"/>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部门（单位）本年度使用劳务派遣人员数量（含直接聘用的编外人员）与在职人员总数（在编</w:t>
            </w:r>
            <w:r>
              <w:rPr>
                <w:rFonts w:ascii="宋体" w:hAnsi="宋体" w:cs="宋体"/>
                <w:kern w:val="0"/>
              </w:rPr>
              <w:t>+</w:t>
            </w:r>
            <w:r>
              <w:rPr>
                <w:rFonts w:hint="eastAsia" w:ascii="宋体" w:hAnsi="宋体" w:cs="宋体"/>
                <w:kern w:val="0"/>
              </w:rPr>
              <w:t>编外）的比率。</w:t>
            </w:r>
          </w:p>
        </w:tc>
        <w:tc>
          <w:tcPr>
            <w:tcW w:w="5812"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kern w:val="0"/>
              </w:rPr>
            </w:pPr>
            <w:r>
              <w:rPr>
                <w:rFonts w:ascii="宋体" w:hAnsi="宋体" w:cs="宋体"/>
                <w:kern w:val="0"/>
              </w:rPr>
              <w:t>1.</w:t>
            </w:r>
            <w:r>
              <w:rPr>
                <w:rFonts w:hint="eastAsia" w:ascii="宋体" w:hAnsi="宋体" w:cs="宋体"/>
                <w:kern w:val="0"/>
              </w:rPr>
              <w:t>比率＜</w:t>
            </w:r>
            <w:r>
              <w:rPr>
                <w:rFonts w:ascii="宋体" w:hAnsi="宋体" w:cs="宋体"/>
                <w:kern w:val="0"/>
              </w:rPr>
              <w:t>5%</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ind w:firstLine="420" w:firstLineChars="200"/>
              <w:rPr>
                <w:rFonts w:hint="eastAsia" w:ascii="宋体" w:hAnsi="宋体" w:eastAsia="宋体" w:cs="宋体"/>
                <w:kern w:val="0"/>
                <w:lang w:eastAsia="zh-CN"/>
              </w:rPr>
            </w:pPr>
            <w:r>
              <w:rPr>
                <w:rFonts w:ascii="宋体" w:hAnsi="宋体" w:cs="宋体"/>
                <w:kern w:val="0"/>
              </w:rPr>
              <w:t>2.5%</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hAnsi="宋体" w:cs="宋体"/>
                <w:kern w:val="0"/>
              </w:rPr>
              <w:t>0.5</w:t>
            </w:r>
            <w:r>
              <w:rPr>
                <w:rFonts w:hint="eastAsia" w:ascii="宋体" w:hAnsi="宋体" w:cs="宋体"/>
                <w:kern w:val="0"/>
              </w:rPr>
              <w:t>分；</w:t>
            </w:r>
          </w:p>
          <w:p>
            <w:pPr>
              <w:widowControl/>
              <w:spacing w:line="300" w:lineRule="exact"/>
              <w:ind w:firstLine="420" w:firstLineChars="200"/>
              <w:rPr>
                <w:rFonts w:ascii="宋体"/>
                <w:kern w:val="0"/>
              </w:rPr>
            </w:pPr>
            <w:r>
              <w:rPr>
                <w:rFonts w:ascii="宋体" w:hAnsi="宋体" w:cs="宋体"/>
                <w:kern w:val="0"/>
              </w:rPr>
              <w:t xml:space="preserve">    3</w:t>
            </w:r>
            <w:r>
              <w:rPr>
                <w:rFonts w:ascii="宋体" w:cs="宋体"/>
                <w:kern w:val="0"/>
              </w:rPr>
              <w:t>.</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ascii="宋体" w:hAnsi="宋体" w:cs="宋体"/>
                <w:kern w:val="0"/>
              </w:rPr>
              <w:t>1</w:t>
            </w:r>
          </w:p>
        </w:tc>
        <w:tc>
          <w:tcPr>
            <w:tcW w:w="2297" w:type="dxa"/>
            <w:tcBorders>
              <w:top w:val="single" w:color="auto" w:sz="4" w:space="0"/>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52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制度管理</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管理制度健全性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部门（单位）制定了相应的预算资金、财务管理和预算绩效管理等制度并严格执行，用以反映部门（单位）的管理制度对其完成主要职责和促进事业发展的保障情况。</w:t>
            </w:r>
          </w:p>
        </w:tc>
        <w:tc>
          <w:tcPr>
            <w:tcW w:w="5812" w:type="dxa"/>
            <w:tcBorders>
              <w:top w:val="nil"/>
              <w:left w:val="nil"/>
              <w:bottom w:val="single" w:color="auto" w:sz="4" w:space="0"/>
              <w:right w:val="single" w:color="auto" w:sz="4" w:space="0"/>
            </w:tcBorders>
          </w:tcPr>
          <w:p>
            <w:pPr>
              <w:widowControl/>
              <w:spacing w:line="300" w:lineRule="exact"/>
              <w:jc w:val="left"/>
              <w:rPr>
                <w:rFonts w:hint="eastAsia" w:ascii="宋体" w:hAnsi="宋体" w:eastAsia="宋体" w:cs="宋体"/>
                <w:kern w:val="0"/>
                <w:lang w:eastAsia="zh-CN"/>
              </w:rPr>
            </w:pPr>
            <w:r>
              <w:rPr>
                <w:rFonts w:ascii="宋体" w:hAnsi="宋体" w:cs="宋体"/>
                <w:kern w:val="0"/>
              </w:rPr>
              <w:t xml:space="preserve">    1.</w:t>
            </w:r>
            <w:r>
              <w:rPr>
                <w:rFonts w:hint="eastAsia" w:ascii="宋体" w:hAnsi="宋体" w:cs="宋体"/>
                <w:kern w:val="0"/>
              </w:rPr>
              <w:t>部门制定了财政资金管理、财务管理、内部控制等制度（</w:t>
            </w:r>
            <w:r>
              <w:rPr>
                <w:rFonts w:ascii="宋体" w:hAnsi="宋体" w:cs="宋体"/>
                <w:kern w:val="0"/>
              </w:rPr>
              <w:t>0.5</w:t>
            </w:r>
            <w:r>
              <w:rPr>
                <w:rFonts w:hint="eastAsia" w:ascii="宋体" w:hAnsi="宋体" w:cs="宋体"/>
                <w:kern w:val="0"/>
              </w:rPr>
              <w:t>分）；</w:t>
            </w:r>
          </w:p>
          <w:p>
            <w:pPr>
              <w:widowControl/>
              <w:spacing w:line="300" w:lineRule="exact"/>
              <w:jc w:val="left"/>
              <w:rPr>
                <w:rFonts w:hint="eastAsia" w:ascii="宋体" w:hAnsi="宋体" w:eastAsia="宋体" w:cs="宋体"/>
                <w:kern w:val="0"/>
                <w:lang w:eastAsia="zh-CN"/>
              </w:rPr>
            </w:pPr>
            <w:r>
              <w:rPr>
                <w:rFonts w:ascii="宋体" w:hAnsi="宋体" w:cs="宋体"/>
                <w:kern w:val="0"/>
              </w:rPr>
              <w:t xml:space="preserve">    2.</w:t>
            </w:r>
            <w:r>
              <w:rPr>
                <w:rFonts w:hint="eastAsia" w:ascii="宋体" w:hAnsi="宋体" w:cs="宋体"/>
                <w:kern w:val="0"/>
              </w:rPr>
              <w:t>上述财政资金管理、财务管理、内部控制等制度得到有效执行（</w:t>
            </w:r>
            <w:r>
              <w:rPr>
                <w:rFonts w:ascii="宋体" w:hAnsi="宋体" w:cs="宋体"/>
                <w:kern w:val="0"/>
              </w:rPr>
              <w:t>1.5</w:t>
            </w:r>
            <w:r>
              <w:rPr>
                <w:rFonts w:hint="eastAsia" w:ascii="宋体" w:hAnsi="宋体" w:cs="宋体"/>
                <w:kern w:val="0"/>
              </w:rPr>
              <w:t>分）；</w:t>
            </w:r>
          </w:p>
          <w:p>
            <w:pPr>
              <w:widowControl/>
              <w:spacing w:line="300" w:lineRule="exact"/>
              <w:jc w:val="left"/>
              <w:rPr>
                <w:rFonts w:ascii="宋体"/>
                <w:kern w:val="0"/>
              </w:rPr>
            </w:pPr>
            <w:r>
              <w:rPr>
                <w:rFonts w:ascii="宋体" w:hAnsi="宋体" w:cs="宋体"/>
                <w:kern w:val="0"/>
              </w:rPr>
              <w:t xml:space="preserve">    3.</w:t>
            </w:r>
            <w:r>
              <w:rPr>
                <w:rFonts w:hint="eastAsia" w:ascii="宋体" w:hAnsi="宋体" w:cs="宋体"/>
                <w:kern w:val="0"/>
              </w:rPr>
              <w:t>部门按照预算和绩效管理一体化的要求制定本部门全面实施预算绩效管理的制度或工作方案，组织指导本级及下属单位开展事前评估、绩效目标编报、绩效监控、绩效评价和评价结果应用等工作（</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00" w:lineRule="exact"/>
              <w:jc w:val="left"/>
              <w:rPr>
                <w:rFonts w:ascii="宋体" w:hAnsi="宋体" w:cs="宋体"/>
                <w:kern w:val="0"/>
              </w:rPr>
            </w:pPr>
          </w:p>
        </w:tc>
      </w:tr>
      <w:tr>
        <w:tblPrEx>
          <w:tblCellMar>
            <w:top w:w="0" w:type="dxa"/>
            <w:left w:w="108" w:type="dxa"/>
            <w:bottom w:w="0" w:type="dxa"/>
            <w:right w:w="108" w:type="dxa"/>
          </w:tblCellMar>
        </w:tblPrEx>
        <w:trPr>
          <w:trHeight w:val="360"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部门绩效</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55</w:t>
            </w: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经济性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公用经费控制率</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部门（单位）本年度实际支出的公用经费总额与预算安排的公用经费总额的比率，用以反映和考核部门（单位）对机构运转成本的实际控制程度。</w:t>
            </w:r>
          </w:p>
        </w:tc>
        <w:tc>
          <w:tcPr>
            <w:tcW w:w="5812" w:type="dxa"/>
            <w:tcBorders>
              <w:top w:val="nil"/>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“三公”经费控制率</w:t>
            </w:r>
            <w:r>
              <w:rPr>
                <w:rFonts w:ascii="宋体" w:hAnsi="宋体" w:cs="宋体"/>
                <w:kern w:val="0"/>
              </w:rPr>
              <w:t>=</w:t>
            </w:r>
            <w:r>
              <w:rPr>
                <w:rFonts w:hint="eastAsia" w:ascii="宋体" w:hAnsi="宋体" w:cs="宋体"/>
                <w:kern w:val="0"/>
              </w:rPr>
              <w:t>“三公”经费实际支出数</w:t>
            </w:r>
            <w:r>
              <w:rPr>
                <w:rFonts w:ascii="宋体" w:hAnsi="宋体" w:cs="宋体"/>
                <w:kern w:val="0"/>
              </w:rPr>
              <w:t>/</w:t>
            </w:r>
            <w:r>
              <w:rPr>
                <w:rFonts w:hint="eastAsia" w:ascii="宋体" w:hAnsi="宋体" w:cs="宋体"/>
                <w:kern w:val="0"/>
              </w:rPr>
              <w:t>“三公”经费预算安排数×</w:t>
            </w:r>
            <w:r>
              <w:rPr>
                <w:rFonts w:ascii="宋体" w:hAnsi="宋体" w:cs="宋体"/>
                <w:kern w:val="0"/>
              </w:rPr>
              <w:t>100%</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1</w:t>
            </w:r>
            <w:r>
              <w:rPr>
                <w:rFonts w:hint="eastAsia" w:ascii="宋体" w:cs="宋体"/>
                <w:kern w:val="0"/>
              </w:rPr>
              <w:t>）</w:t>
            </w:r>
            <w:r>
              <w:rPr>
                <w:rFonts w:hint="eastAsia" w:ascii="宋体" w:hAnsi="宋体" w:cs="宋体"/>
                <w:kern w:val="0"/>
              </w:rPr>
              <w:t>“三公”经费控制率＜</w:t>
            </w:r>
            <w:r>
              <w:rPr>
                <w:rFonts w:ascii="宋体" w:hAnsi="宋体" w:cs="宋体"/>
                <w:kern w:val="0"/>
              </w:rPr>
              <w:t>90%</w:t>
            </w:r>
            <w:r>
              <w:rPr>
                <w:rFonts w:hint="eastAsia" w:ascii="宋体" w:hAnsi="宋体" w:cs="宋体"/>
                <w:kern w:val="0"/>
              </w:rPr>
              <w:t>的，得</w:t>
            </w:r>
            <w:r>
              <w:rPr>
                <w:rFonts w:ascii="宋体" w:hAnsi="宋体" w:cs="宋体"/>
                <w:kern w:val="0"/>
              </w:rPr>
              <w:t>3</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hAnsi="宋体" w:cs="宋体"/>
                <w:kern w:val="0"/>
              </w:rPr>
              <w:t>（</w:t>
            </w:r>
            <w:r>
              <w:rPr>
                <w:rFonts w:ascii="宋体" w:hAnsi="宋体" w:cs="宋体"/>
                <w:kern w:val="0"/>
              </w:rPr>
              <w:t>2</w:t>
            </w:r>
            <w:r>
              <w:rPr>
                <w:rFonts w:hint="eastAsia" w:ascii="宋体" w:hAnsi="宋体" w:cs="宋体"/>
                <w:kern w:val="0"/>
              </w:rPr>
              <w:t>）</w:t>
            </w:r>
            <w:r>
              <w:rPr>
                <w:rFonts w:ascii="宋体" w:hAnsi="宋体" w:cs="宋体"/>
                <w:kern w:val="0"/>
              </w:rPr>
              <w:t>90%</w:t>
            </w:r>
            <w:r>
              <w:rPr>
                <w:rFonts w:hint="eastAsia" w:ascii="宋体" w:hAnsi="宋体" w:cs="宋体"/>
                <w:kern w:val="0"/>
              </w:rPr>
              <w:t>≤“三公”经费控制率≤</w:t>
            </w:r>
            <w:r>
              <w:rPr>
                <w:rFonts w:ascii="宋体" w:hAnsi="宋体" w:cs="宋体"/>
                <w:kern w:val="0"/>
              </w:rPr>
              <w:t>100%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315" w:firstLineChars="150"/>
              <w:rPr>
                <w:rFonts w:hint="eastAsia" w:ascii="宋体" w:hAnsi="宋体" w:eastAsia="宋体" w:cs="宋体"/>
                <w:kern w:val="0"/>
                <w:lang w:eastAsia="zh-CN"/>
              </w:rPr>
            </w:pPr>
            <w:r>
              <w:rPr>
                <w:rFonts w:hint="eastAsia" w:ascii="宋体" w:cs="宋体"/>
                <w:kern w:val="0"/>
              </w:rPr>
              <w:t>（</w:t>
            </w:r>
            <w:r>
              <w:rPr>
                <w:rFonts w:ascii="宋体" w:cs="宋体"/>
                <w:kern w:val="0"/>
              </w:rPr>
              <w:t>3</w:t>
            </w:r>
            <w:r>
              <w:rPr>
                <w:rFonts w:hint="eastAsia" w:ascii="宋体" w:cs="宋体"/>
                <w:kern w:val="0"/>
              </w:rPr>
              <w:t>）</w:t>
            </w:r>
            <w:r>
              <w:rPr>
                <w:rFonts w:hint="eastAsia" w:ascii="宋体" w:hAnsi="宋体" w:cs="宋体"/>
                <w:kern w:val="0"/>
              </w:rPr>
              <w:t>“三公”经费控制率＞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p>
          <w:p>
            <w:pPr>
              <w:widowControl/>
              <w:spacing w:line="320" w:lineRule="exact"/>
              <w:ind w:firstLine="315" w:firstLineChars="150"/>
              <w:rPr>
                <w:rFonts w:ascii="宋体" w:hAnsi="宋体" w:cs="宋体"/>
                <w:kern w:val="0"/>
              </w:rPr>
            </w:pPr>
            <w:r>
              <w:rPr>
                <w:rFonts w:ascii="宋体" w:hAnsi="宋体" w:cs="宋体"/>
                <w:kern w:val="0"/>
              </w:rPr>
              <w:t xml:space="preserve">    2. </w:t>
            </w:r>
            <w:r>
              <w:rPr>
                <w:rFonts w:hint="eastAsia" w:ascii="宋体" w:hAnsi="宋体" w:cs="宋体"/>
                <w:kern w:val="0"/>
              </w:rPr>
              <w:t>日常公用经费控制率</w:t>
            </w:r>
            <w:r>
              <w:rPr>
                <w:rFonts w:ascii="宋体" w:hAnsi="宋体" w:cs="宋体"/>
                <w:kern w:val="0"/>
              </w:rPr>
              <w:t>=</w:t>
            </w:r>
            <w:r>
              <w:rPr>
                <w:rFonts w:hint="eastAsia" w:ascii="宋体" w:hAnsi="宋体" w:cs="宋体"/>
                <w:kern w:val="0"/>
              </w:rPr>
              <w:t>日常公用经费决算数</w:t>
            </w:r>
            <w:r>
              <w:rPr>
                <w:rFonts w:ascii="宋体" w:hAnsi="宋体" w:cs="宋体"/>
                <w:kern w:val="0"/>
              </w:rPr>
              <w:t>/</w:t>
            </w:r>
            <w:r>
              <w:rPr>
                <w:rFonts w:hint="eastAsia" w:ascii="宋体" w:hAnsi="宋体" w:cs="宋体"/>
                <w:kern w:val="0"/>
              </w:rPr>
              <w:t>日常公用经费调整预算数×</w:t>
            </w:r>
            <w:r>
              <w:rPr>
                <w:rFonts w:ascii="宋体" w:hAnsi="宋体" w:cs="宋体"/>
                <w:kern w:val="0"/>
              </w:rPr>
              <w:t>100%</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1</w:t>
            </w:r>
            <w:r>
              <w:rPr>
                <w:rFonts w:hint="eastAsia" w:ascii="宋体" w:cs="宋体"/>
                <w:kern w:val="0"/>
              </w:rPr>
              <w:t>）</w:t>
            </w:r>
            <w:r>
              <w:rPr>
                <w:rFonts w:hint="eastAsia" w:ascii="宋体" w:hAnsi="宋体" w:cs="宋体"/>
                <w:kern w:val="0"/>
              </w:rPr>
              <w:t>日常公用经费控制率＜</w:t>
            </w:r>
            <w:r>
              <w:rPr>
                <w:rFonts w:ascii="宋体" w:hAnsi="宋体" w:cs="宋体"/>
                <w:kern w:val="0"/>
              </w:rPr>
              <w:t>90%</w:t>
            </w:r>
            <w:r>
              <w:rPr>
                <w:rFonts w:hint="eastAsia" w:ascii="宋体" w:hAnsi="宋体" w:cs="宋体"/>
                <w:kern w:val="0"/>
              </w:rPr>
              <w:t>的，得</w:t>
            </w:r>
            <w:r>
              <w:rPr>
                <w:rFonts w:ascii="宋体" w:hAnsi="宋体" w:cs="宋体"/>
                <w:kern w:val="0"/>
              </w:rPr>
              <w:t>3</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hAnsi="宋体" w:cs="宋体"/>
                <w:kern w:val="0"/>
              </w:rPr>
              <w:t>（</w:t>
            </w:r>
            <w:r>
              <w:rPr>
                <w:rFonts w:ascii="宋体" w:hAnsi="宋体" w:cs="宋体"/>
                <w:kern w:val="0"/>
              </w:rPr>
              <w:t>2</w:t>
            </w:r>
            <w:r>
              <w:rPr>
                <w:rFonts w:hint="eastAsia" w:ascii="宋体" w:hAnsi="宋体" w:cs="宋体"/>
                <w:kern w:val="0"/>
              </w:rPr>
              <w:t>）</w:t>
            </w:r>
            <w:r>
              <w:rPr>
                <w:rFonts w:ascii="宋体" w:hAnsi="宋体" w:cs="宋体"/>
                <w:kern w:val="0"/>
              </w:rPr>
              <w:t>90%</w:t>
            </w:r>
            <w:r>
              <w:rPr>
                <w:rFonts w:hint="eastAsia" w:ascii="宋体" w:hAnsi="宋体" w:cs="宋体"/>
                <w:kern w:val="0"/>
              </w:rPr>
              <w:t>≤日常公用经费控制率≤</w:t>
            </w:r>
            <w:r>
              <w:rPr>
                <w:rFonts w:ascii="宋体" w:hAnsi="宋体" w:cs="宋体"/>
                <w:kern w:val="0"/>
              </w:rPr>
              <w:t>100%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3</w:t>
            </w:r>
            <w:r>
              <w:rPr>
                <w:rFonts w:hint="eastAsia" w:ascii="宋体" w:cs="宋体"/>
                <w:kern w:val="0"/>
              </w:rPr>
              <w:t>）</w:t>
            </w:r>
            <w:r>
              <w:rPr>
                <w:rFonts w:hint="eastAsia" w:ascii="宋体" w:hAnsi="宋体" w:cs="宋体"/>
                <w:kern w:val="0"/>
              </w:rPr>
              <w:t>日常公用经费控制率＞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ascii="宋体" w:hAnsi="宋体" w:cs="宋体"/>
                <w:kern w:val="0"/>
              </w:rPr>
              <w:t>6</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276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宋体"/>
                <w:kern w:val="0"/>
              </w:rPr>
            </w:pPr>
            <w:r>
              <w:rPr>
                <w:rFonts w:hint="eastAsia" w:ascii="宋体" w:hAnsi="宋体" w:cs="宋体"/>
                <w:kern w:val="0"/>
              </w:rPr>
              <w:t>效率性</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kern w:val="0"/>
              </w:rPr>
            </w:pPr>
            <w:r>
              <w:rPr>
                <w:rFonts w:ascii="宋体" w:hAnsi="宋体" w:cs="宋体"/>
                <w:kern w:val="0"/>
              </w:rPr>
              <w:t>20</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预算执行率</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部门（单位）部门预算实际支付进度和既定支付进度的匹配情况，反映和考核部门（单位）预算执行的及时性和均衡性。</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1.</w:t>
            </w:r>
            <w:r>
              <w:rPr>
                <w:rFonts w:hint="eastAsia" w:ascii="宋体" w:hAnsi="宋体" w:cs="宋体"/>
                <w:kern w:val="0"/>
              </w:rPr>
              <w:t>一季度预算执行率得分</w:t>
            </w:r>
            <w:r>
              <w:rPr>
                <w:rFonts w:ascii="宋体" w:hAnsi="宋体" w:cs="宋体"/>
                <w:kern w:val="0"/>
              </w:rPr>
              <w:t>=</w:t>
            </w:r>
            <w:r>
              <w:rPr>
                <w:rFonts w:hint="eastAsia" w:ascii="宋体" w:hAnsi="宋体" w:cs="宋体"/>
                <w:kern w:val="0"/>
              </w:rPr>
              <w:t>（一季度部门预算支出进度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25%</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2.</w:t>
            </w:r>
            <w:r>
              <w:rPr>
                <w:rFonts w:hint="eastAsia" w:ascii="宋体" w:hAnsi="宋体" w:cs="宋体"/>
                <w:kern w:val="0"/>
              </w:rPr>
              <w:t>二季度预算执行率得分</w:t>
            </w:r>
            <w:r>
              <w:rPr>
                <w:rFonts w:ascii="宋体" w:hAnsi="宋体" w:cs="宋体"/>
                <w:kern w:val="0"/>
              </w:rPr>
              <w:t>=</w:t>
            </w:r>
            <w:r>
              <w:rPr>
                <w:rFonts w:hint="eastAsia" w:ascii="宋体" w:hAnsi="宋体" w:cs="宋体"/>
                <w:kern w:val="0"/>
              </w:rPr>
              <w:t>（二季度部门预算支出进度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50%</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3.</w:t>
            </w:r>
            <w:r>
              <w:rPr>
                <w:rFonts w:hint="eastAsia" w:ascii="宋体" w:hAnsi="宋体" w:cs="宋体"/>
                <w:kern w:val="0"/>
              </w:rPr>
              <w:t>三季度预算执行率得分</w:t>
            </w:r>
            <w:r>
              <w:rPr>
                <w:rFonts w:ascii="宋体" w:hAnsi="宋体" w:cs="宋体"/>
                <w:kern w:val="0"/>
              </w:rPr>
              <w:t>=</w:t>
            </w:r>
            <w:r>
              <w:rPr>
                <w:rFonts w:hint="eastAsia" w:ascii="宋体" w:hAnsi="宋体" w:cs="宋体"/>
                <w:kern w:val="0"/>
              </w:rPr>
              <w:t>（三季度部门预算支出进度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75%</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4.</w:t>
            </w:r>
            <w:r>
              <w:rPr>
                <w:rFonts w:hint="eastAsia" w:ascii="宋体" w:hAnsi="宋体" w:cs="宋体"/>
                <w:kern w:val="0"/>
              </w:rPr>
              <w:t>四季度预算执行率得分</w:t>
            </w:r>
            <w:r>
              <w:rPr>
                <w:rFonts w:ascii="宋体" w:hAnsi="宋体" w:cs="宋体"/>
                <w:kern w:val="0"/>
              </w:rPr>
              <w:t>=</w:t>
            </w:r>
            <w:r>
              <w:rPr>
                <w:rFonts w:hint="eastAsia" w:ascii="宋体" w:hAnsi="宋体" w:cs="宋体"/>
                <w:kern w:val="0"/>
              </w:rPr>
              <w:t>（四季度部门预算支出进度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100%</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5.</w:t>
            </w:r>
            <w:r>
              <w:rPr>
                <w:rFonts w:hint="eastAsia" w:ascii="宋体" w:hAnsi="宋体" w:cs="宋体"/>
                <w:kern w:val="0"/>
              </w:rPr>
              <w:t>全年平均支出进度得分</w:t>
            </w:r>
            <w:r>
              <w:rPr>
                <w:rFonts w:ascii="宋体" w:hAnsi="宋体" w:cs="宋体"/>
                <w:kern w:val="0"/>
              </w:rPr>
              <w:t>=</w:t>
            </w:r>
            <w:r>
              <w:rPr>
                <w:rFonts w:hint="eastAsia" w:ascii="宋体" w:hAnsi="宋体" w:cs="宋体"/>
                <w:kern w:val="0"/>
              </w:rPr>
              <w:t>全年平均执行率×</w:t>
            </w:r>
            <w:r>
              <w:rPr>
                <w:rFonts w:ascii="宋体" w:hAnsi="宋体" w:cs="宋体"/>
                <w:kern w:val="0"/>
              </w:rPr>
              <w:t>2</w:t>
            </w:r>
            <w:r>
              <w:rPr>
                <w:rFonts w:hint="eastAsia" w:ascii="宋体" w:hAnsi="宋体" w:cs="宋体"/>
                <w:kern w:val="0"/>
              </w:rPr>
              <w:t>分，最高得</w:t>
            </w:r>
            <w:r>
              <w:rPr>
                <w:rFonts w:ascii="宋体" w:hAnsi="宋体" w:cs="宋体"/>
                <w:kern w:val="0"/>
              </w:rPr>
              <w:t>2</w:t>
            </w:r>
            <w:r>
              <w:rPr>
                <w:rFonts w:hint="eastAsia" w:ascii="宋体" w:hAnsi="宋体" w:cs="宋体"/>
                <w:kern w:val="0"/>
              </w:rPr>
              <w:t>分。</w:t>
            </w:r>
          </w:p>
          <w:p>
            <w:pPr>
              <w:widowControl/>
              <w:spacing w:line="320" w:lineRule="exact"/>
              <w:ind w:firstLine="405"/>
              <w:rPr>
                <w:rFonts w:ascii="宋体" w:hAnsi="宋体" w:cs="宋体"/>
                <w:kern w:val="0"/>
              </w:rPr>
            </w:pPr>
            <w:r>
              <w:rPr>
                <w:rFonts w:hint="eastAsia" w:ascii="宋体" w:hAnsi="宋体" w:cs="宋体"/>
                <w:kern w:val="0"/>
              </w:rPr>
              <w:t>其中：全年平均执行率</w:t>
            </w:r>
            <w:r>
              <w:rPr>
                <w:rFonts w:ascii="宋体" w:hAnsi="宋体" w:cs="宋体"/>
                <w:kern w:val="0"/>
              </w:rPr>
              <w:t>=</w:t>
            </w:r>
            <w:r>
              <w:rPr>
                <w:rFonts w:hint="eastAsia" w:ascii="宋体" w:hAnsi="宋体" w:cs="宋体"/>
                <w:kern w:val="0"/>
              </w:rPr>
              <w:t>∑（每个季度的执行率）÷</w:t>
            </w:r>
            <w:r>
              <w:rPr>
                <w:rFonts w:ascii="宋体" w:hAnsi="宋体" w:cs="宋体"/>
                <w:kern w:val="0"/>
              </w:rPr>
              <w:t>4</w:t>
            </w:r>
          </w:p>
          <w:p>
            <w:pPr>
              <w:widowControl/>
              <w:spacing w:line="320" w:lineRule="exact"/>
              <w:rPr>
                <w:rFonts w:ascii="宋体"/>
                <w:kern w:val="0"/>
              </w:rPr>
            </w:pPr>
            <w:r>
              <w:rPr>
                <w:rFonts w:hint="eastAsia" w:ascii="宋体" w:hAnsi="宋体" w:cs="宋体"/>
                <w:kern w:val="0"/>
              </w:rPr>
              <w:t>季度支出进度</w:t>
            </w:r>
            <w:r>
              <w:rPr>
                <w:rFonts w:ascii="宋体" w:hAnsi="宋体" w:cs="宋体"/>
                <w:kern w:val="0"/>
              </w:rPr>
              <w:t>=</w:t>
            </w:r>
            <w:r>
              <w:rPr>
                <w:rFonts w:hint="eastAsia" w:ascii="宋体" w:hAnsi="宋体" w:cs="宋体"/>
                <w:kern w:val="0"/>
              </w:rPr>
              <w:t>季度末月份累计支出进度（即</w:t>
            </w:r>
            <w:r>
              <w:rPr>
                <w:rFonts w:ascii="宋体" w:hAnsi="宋体" w:cs="宋体"/>
                <w:kern w:val="0"/>
              </w:rPr>
              <w:t>3</w:t>
            </w:r>
            <w:r>
              <w:rPr>
                <w:rFonts w:hint="eastAsia" w:ascii="宋体" w:hAnsi="宋体" w:cs="宋体"/>
                <w:kern w:val="0"/>
              </w:rPr>
              <w:t>、</w:t>
            </w:r>
            <w:r>
              <w:rPr>
                <w:rFonts w:ascii="宋体" w:hAnsi="宋体" w:cs="宋体"/>
                <w:kern w:val="0"/>
              </w:rPr>
              <w:t>6</w:t>
            </w:r>
            <w:r>
              <w:rPr>
                <w:rFonts w:hint="eastAsia" w:ascii="宋体" w:hAnsi="宋体" w:cs="宋体"/>
                <w:kern w:val="0"/>
              </w:rPr>
              <w:t>、</w:t>
            </w:r>
            <w:r>
              <w:rPr>
                <w:rFonts w:ascii="宋体" w:hAnsi="宋体" w:cs="宋体"/>
                <w:kern w:val="0"/>
              </w:rPr>
              <w:t>9</w:t>
            </w:r>
            <w:r>
              <w:rPr>
                <w:rFonts w:hint="eastAsia" w:ascii="宋体" w:hAnsi="宋体" w:cs="宋体"/>
                <w:kern w:val="0"/>
              </w:rPr>
              <w:t>、</w:t>
            </w:r>
            <w:r>
              <w:rPr>
                <w:rFonts w:ascii="宋体" w:hAnsi="宋体" w:cs="宋体"/>
                <w:kern w:val="0"/>
              </w:rPr>
              <w:t>12</w:t>
            </w:r>
            <w:r>
              <w:rPr>
                <w:rFonts w:hint="eastAsia" w:ascii="宋体" w:hAnsi="宋体" w:cs="宋体"/>
                <w:kern w:val="0"/>
              </w:rPr>
              <w:t>月月末支出进度）</w:t>
            </w:r>
          </w:p>
        </w:tc>
        <w:tc>
          <w:tcPr>
            <w:tcW w:w="822" w:type="dxa"/>
            <w:tcBorders>
              <w:top w:val="nil"/>
              <w:left w:val="nil"/>
              <w:bottom w:val="single" w:color="auto" w:sz="4" w:space="0"/>
              <w:right w:val="single" w:color="auto" w:sz="4" w:space="0"/>
            </w:tcBorders>
            <w:vAlign w:val="center"/>
          </w:tcPr>
          <w:p>
            <w:pPr>
              <w:widowControl/>
              <w:spacing w:line="320" w:lineRule="exact"/>
              <w:rPr>
                <w:rFonts w:ascii="等线" w:hAnsi="等线" w:eastAsia="等线"/>
                <w:b/>
                <w:bCs/>
                <w:color w:val="000000"/>
                <w:kern w:val="0"/>
                <w:sz w:val="22"/>
                <w:szCs w:val="22"/>
              </w:rPr>
            </w:pPr>
            <w:r>
              <w:rPr>
                <w:rFonts w:hint="eastAsia" w:ascii="宋体" w:hAnsi="宋体" w:eastAsia="等线" w:cs="宋体"/>
                <w:kern w:val="0"/>
              </w:rPr>
              <w:t>6</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40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重点工作完成情况</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color w:val="000000"/>
                <w:kern w:val="0"/>
              </w:rPr>
            </w:pPr>
            <w:r>
              <w:rPr>
                <w:rFonts w:hint="eastAsia" w:ascii="宋体" w:hAnsi="宋体" w:cs="宋体"/>
                <w:color w:val="000000"/>
                <w:kern w:val="0"/>
              </w:rPr>
              <w:t>部门（单位）完成党委、政府和上级部门下达或交办的重要事项或工作的完成情况，反映部门对重点工作的办理落实程度。</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rPr>
            </w:pPr>
            <w:r>
              <w:rPr>
                <w:rFonts w:hint="eastAsia" w:ascii="宋体" w:hAnsi="宋体" w:cs="宋体"/>
                <w:kern w:val="0"/>
              </w:rPr>
              <w:t>重点工作是指中央和省、市相关部门、</w:t>
            </w:r>
            <w:r>
              <w:rPr>
                <w:rFonts w:hint="eastAsia" w:ascii="宋体" w:hAnsi="宋体" w:cs="宋体"/>
                <w:kern w:val="0"/>
                <w:lang w:eastAsia="zh-CN"/>
              </w:rPr>
              <w:t>新区党工委、管委会</w:t>
            </w:r>
            <w:r>
              <w:rPr>
                <w:rFonts w:hint="eastAsia" w:ascii="宋体" w:hAnsi="宋体" w:cs="宋体"/>
                <w:kern w:val="0"/>
              </w:rPr>
              <w:t>交办或下达的工作任务。全部按期保质保量完成得</w:t>
            </w:r>
            <w:r>
              <w:rPr>
                <w:rFonts w:ascii="宋体" w:hAnsi="宋体" w:cs="宋体"/>
                <w:kern w:val="0"/>
              </w:rPr>
              <w:t>8</w:t>
            </w:r>
            <w:r>
              <w:rPr>
                <w:rFonts w:hint="eastAsia" w:ascii="宋体" w:hAnsi="宋体" w:cs="宋体"/>
                <w:kern w:val="0"/>
              </w:rPr>
              <w:t>分；一项重点工作没有完成扣</w:t>
            </w:r>
            <w:r>
              <w:rPr>
                <w:rFonts w:ascii="宋体" w:hAnsi="宋体" w:cs="宋体"/>
                <w:kern w:val="0"/>
              </w:rPr>
              <w:t>4</w:t>
            </w:r>
            <w:r>
              <w:rPr>
                <w:rFonts w:hint="eastAsia" w:ascii="宋体" w:hAnsi="宋体" w:cs="宋体"/>
                <w:kern w:val="0"/>
              </w:rPr>
              <w:t>分，扣完为止。</w:t>
            </w:r>
          </w:p>
          <w:p>
            <w:pPr>
              <w:widowControl/>
              <w:spacing w:line="320" w:lineRule="exact"/>
              <w:rPr>
                <w:rFonts w:ascii="宋体"/>
                <w:kern w:val="0"/>
              </w:rPr>
            </w:pPr>
            <w:r>
              <w:rPr>
                <w:rFonts w:hint="eastAsia" w:ascii="宋体" w:hAnsi="宋体" w:cs="宋体"/>
                <w:kern w:val="0"/>
              </w:rPr>
              <w:t>注：重点工作完成情况可以参考</w:t>
            </w:r>
            <w:r>
              <w:rPr>
                <w:rFonts w:hint="eastAsia" w:ascii="宋体" w:hAnsi="宋体" w:cs="宋体"/>
                <w:kern w:val="0"/>
                <w:lang w:eastAsia="zh-CN"/>
              </w:rPr>
              <w:t>新区党工委、管委会</w:t>
            </w:r>
            <w:r>
              <w:rPr>
                <w:rFonts w:hint="eastAsia" w:ascii="宋体" w:hAnsi="宋体" w:cs="宋体"/>
                <w:kern w:val="0"/>
              </w:rPr>
              <w:t>督查部门或其他权威部门的统计数据（如有）。</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8</w:t>
            </w:r>
          </w:p>
        </w:tc>
        <w:tc>
          <w:tcPr>
            <w:tcW w:w="2297" w:type="dxa"/>
            <w:tcBorders>
              <w:top w:val="nil"/>
              <w:left w:val="nil"/>
              <w:bottom w:val="single" w:color="auto" w:sz="4" w:space="0"/>
              <w:right w:val="single" w:color="auto" w:sz="4" w:space="0"/>
            </w:tcBorders>
          </w:tcPr>
          <w:p>
            <w:pPr>
              <w:widowControl/>
              <w:spacing w:line="32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15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sz w:val="18"/>
                <w:szCs w:val="18"/>
              </w:rPr>
            </w:pPr>
            <w:r>
              <w:rPr>
                <w:rFonts w:hint="eastAsia" w:ascii="宋体" w:hAnsi="宋体" w:cs="宋体"/>
                <w:kern w:val="0"/>
              </w:rPr>
              <w:t>项目完成及时性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sz w:val="18"/>
                <w:szCs w:val="18"/>
              </w:rPr>
            </w:pPr>
            <w:r>
              <w:rPr>
                <w:rFonts w:hint="eastAsia" w:ascii="宋体" w:hAnsi="宋体" w:cs="宋体"/>
                <w:kern w:val="0"/>
              </w:rPr>
              <w:t>部门（单位）项目完成情况与预期时间对比的情况。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sz w:val="18"/>
                <w:szCs w:val="18"/>
              </w:rPr>
            </w:pPr>
            <w:r>
              <w:rPr>
                <w:rFonts w:ascii="宋体" w:hAnsi="宋体" w:cs="宋体"/>
                <w:kern w:val="0"/>
              </w:rPr>
              <w:t>1.</w:t>
            </w:r>
            <w:r>
              <w:rPr>
                <w:rFonts w:hint="eastAsia" w:ascii="宋体" w:hAnsi="宋体" w:cs="宋体"/>
                <w:kern w:val="0"/>
              </w:rPr>
              <w:t>所有部门预算安排的项目均按计划时间完成（</w:t>
            </w:r>
            <w:r>
              <w:rPr>
                <w:rFonts w:ascii="宋体" w:hAnsi="宋体" w:cs="宋体"/>
                <w:kern w:val="0"/>
              </w:rPr>
              <w:t>6</w:t>
            </w:r>
            <w:r>
              <w:rPr>
                <w:rFonts w:hint="eastAsia" w:ascii="宋体" w:hAnsi="宋体" w:cs="宋体"/>
                <w:kern w:val="0"/>
              </w:rPr>
              <w:t>分）；</w:t>
            </w:r>
          </w:p>
          <w:p>
            <w:pPr>
              <w:widowControl/>
              <w:spacing w:line="320" w:lineRule="exact"/>
              <w:ind w:firstLine="420" w:firstLineChars="200"/>
              <w:rPr>
                <w:rFonts w:ascii="宋体"/>
                <w:kern w:val="0"/>
                <w:sz w:val="18"/>
                <w:szCs w:val="18"/>
              </w:rPr>
            </w:pPr>
            <w:r>
              <w:rPr>
                <w:rFonts w:ascii="宋体" w:hAnsi="宋体" w:cs="宋体"/>
                <w:kern w:val="0"/>
              </w:rPr>
              <w:t>2.</w:t>
            </w:r>
            <w:r>
              <w:rPr>
                <w:rFonts w:hint="eastAsia" w:ascii="宋体" w:hAnsi="宋体" w:cs="宋体"/>
                <w:kern w:val="0"/>
              </w:rPr>
              <w:t>部分项目未按计划时间完成的，本指标得分</w:t>
            </w:r>
            <w:r>
              <w:rPr>
                <w:rFonts w:ascii="宋体" w:hAnsi="宋体" w:cs="宋体"/>
                <w:kern w:val="0"/>
              </w:rPr>
              <w:t>=</w:t>
            </w:r>
            <w:r>
              <w:rPr>
                <w:rFonts w:hint="eastAsia" w:ascii="宋体" w:hAnsi="宋体" w:cs="宋体"/>
                <w:kern w:val="0"/>
              </w:rPr>
              <w:t>已完成项目数</w:t>
            </w:r>
            <w:r>
              <w:rPr>
                <w:rFonts w:ascii="宋体" w:hAnsi="宋体" w:cs="宋体"/>
                <w:kern w:val="0"/>
              </w:rPr>
              <w:t>/</w:t>
            </w:r>
            <w:r>
              <w:rPr>
                <w:rFonts w:hint="eastAsia" w:ascii="宋体" w:hAnsi="宋体" w:cs="宋体"/>
                <w:kern w:val="0"/>
              </w:rPr>
              <w:t>计划完成项目总数×</w:t>
            </w:r>
            <w:r>
              <w:rPr>
                <w:rFonts w:ascii="宋体" w:hAnsi="宋体" w:cs="宋体"/>
                <w:kern w:val="0"/>
              </w:rPr>
              <w:t>6</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single" w:color="auto" w:sz="4" w:space="0"/>
              <w:right w:val="single" w:color="auto" w:sz="4" w:space="0"/>
            </w:tcBorders>
          </w:tcPr>
          <w:p>
            <w:pPr>
              <w:widowControl/>
              <w:spacing w:line="32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200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效果性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20</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社会、经济、生态效益及可持续影响等</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20</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部门（单位）履行职责、完成各项重大政策和项目的效果，以及对经济发展、社会发展、生态环境所带来的直接或间接影响。</w:t>
            </w:r>
          </w:p>
        </w:tc>
        <w:tc>
          <w:tcPr>
            <w:tcW w:w="5812" w:type="dxa"/>
            <w:tcBorders>
              <w:top w:val="nil"/>
              <w:left w:val="nil"/>
              <w:bottom w:val="single" w:color="auto" w:sz="4" w:space="0"/>
              <w:right w:val="single" w:color="auto" w:sz="4" w:space="0"/>
            </w:tcBorders>
            <w:vAlign w:val="center"/>
          </w:tcPr>
          <w:p>
            <w:pPr>
              <w:widowControl/>
              <w:spacing w:line="320" w:lineRule="exact"/>
              <w:ind w:firstLine="405"/>
            </w:pPr>
            <w:r>
              <w:rPr>
                <w:rFonts w:hint="eastAsia"/>
              </w:rPr>
              <w:t>根据部门（单位）职责，结合部门整体支出绩效目标，合理设置个性化绩效指标，通过绩效指标完成情况与目标值对比分析进行评分，未实现绩效目标的酌情扣分。</w:t>
            </w:r>
          </w:p>
          <w:p>
            <w:pPr>
              <w:widowControl/>
              <w:spacing w:line="320" w:lineRule="exact"/>
              <w:ind w:firstLine="405"/>
            </w:pPr>
            <w:r>
              <w:rPr>
                <w:rFonts w:hint="eastAsia"/>
              </w:rPr>
              <w:t>根据部门（部门）履职内容和性质，从社会效益、经济效益、生态效益、可持续影响等方面，至少选择三个方面对工作实效和效益进行评价。</w:t>
            </w:r>
          </w:p>
          <w:p>
            <w:pPr>
              <w:widowControl/>
              <w:spacing w:line="320" w:lineRule="exact"/>
              <w:ind w:firstLine="405"/>
            </w:pPr>
            <w:r>
              <w:rPr>
                <w:rFonts w:hint="eastAsia"/>
              </w:rPr>
              <w:t>1.建立健全了各项规章制度和目标管理机制，提升工作规范化和教职工的积极性（5分）；</w:t>
            </w:r>
          </w:p>
          <w:p>
            <w:pPr>
              <w:widowControl/>
              <w:spacing w:line="320" w:lineRule="exact"/>
              <w:ind w:firstLine="405"/>
            </w:pPr>
            <w:r>
              <w:rPr>
                <w:rFonts w:hint="eastAsia"/>
              </w:rPr>
              <w:t>2.加强教学习和教研力度，提高教师的业务素质和教学质量（5分）；</w:t>
            </w:r>
          </w:p>
          <w:p>
            <w:pPr>
              <w:widowControl/>
              <w:spacing w:line="320" w:lineRule="exact"/>
              <w:ind w:firstLine="405"/>
            </w:pPr>
            <w:r>
              <w:rPr>
                <w:rFonts w:hint="eastAsia"/>
              </w:rPr>
              <w:t>3.加强后勤人员服务意识，提高后勤服务质量，全力保障卫生保健工作、食堂管理、财务财产管理以及疫情防控落到实处（5分）；</w:t>
            </w:r>
          </w:p>
          <w:p>
            <w:pPr>
              <w:widowControl/>
              <w:spacing w:line="320" w:lineRule="exact"/>
              <w:ind w:firstLine="405"/>
            </w:pPr>
            <w:r>
              <w:rPr>
                <w:rFonts w:hint="eastAsia"/>
              </w:rPr>
              <w:t>4.严把幼儿园安全防范工作，开展安全演练活动和安全知识培训，提升全园安全事故防范应对能力，确保师幼在园安全（5分）。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18</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r>
              <w:rPr>
                <w:rFonts w:hint="eastAsia" w:ascii="宋体" w:hAnsi="宋体" w:cs="宋体"/>
                <w:kern w:val="0"/>
              </w:rPr>
              <w:t>扣分原因：开园第一年，工作程序、制度在建立中，部分工作仍在落实中。</w:t>
            </w:r>
          </w:p>
          <w:p>
            <w:pPr>
              <w:widowControl/>
              <w:spacing w:line="320" w:lineRule="exact"/>
              <w:rPr>
                <w:rFonts w:ascii="宋体" w:hAnsi="宋体" w:cs="宋体"/>
                <w:kern w:val="0"/>
              </w:rPr>
            </w:pPr>
            <w:r>
              <w:rPr>
                <w:rFonts w:hint="eastAsia" w:ascii="宋体" w:hAnsi="宋体" w:cs="宋体"/>
                <w:kern w:val="0"/>
              </w:rPr>
              <w:t>改进措施：针对不足之处制定整改措施，并逐一落实，通过不断探索，不断提高，不断进取，争取在工作中再创辉煌。</w:t>
            </w:r>
          </w:p>
        </w:tc>
      </w:tr>
      <w:tr>
        <w:tblPrEx>
          <w:tblCellMar>
            <w:top w:w="0" w:type="dxa"/>
            <w:left w:w="108" w:type="dxa"/>
            <w:bottom w:w="0" w:type="dxa"/>
            <w:right w:w="108" w:type="dxa"/>
          </w:tblCellMar>
        </w:tblPrEx>
        <w:trPr>
          <w:trHeight w:val="121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公平性</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9</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群众信访办理情况</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部门（单位）对群众信访意见的完成情况及及时性，反映部门（单位）对服务群众的重视程度。</w:t>
            </w:r>
          </w:p>
        </w:tc>
        <w:tc>
          <w:tcPr>
            <w:tcW w:w="5812" w:type="dxa"/>
            <w:tcBorders>
              <w:top w:val="nil"/>
              <w:left w:val="nil"/>
              <w:bottom w:val="single" w:color="auto" w:sz="4" w:space="0"/>
              <w:right w:val="single" w:color="auto" w:sz="4" w:space="0"/>
            </w:tcBorders>
            <w:vAlign w:val="center"/>
          </w:tcPr>
          <w:p>
            <w:pPr>
              <w:widowControl/>
              <w:spacing w:line="320" w:lineRule="exact"/>
              <w:ind w:firstLine="315" w:firstLineChars="150"/>
              <w:rPr>
                <w:rFonts w:ascii="宋体"/>
                <w:kern w:val="0"/>
              </w:rPr>
            </w:pPr>
            <w:r>
              <w:rPr>
                <w:rFonts w:ascii="宋体" w:hAnsi="宋体" w:cs="宋体"/>
                <w:kern w:val="0"/>
              </w:rPr>
              <w:t>1.</w:t>
            </w:r>
            <w:r>
              <w:rPr>
                <w:rFonts w:hint="eastAsia" w:ascii="宋体" w:hAnsi="宋体" w:cs="宋体"/>
                <w:kern w:val="0"/>
              </w:rPr>
              <w:t>建立了便利的群众意见反映渠道和群众意见办理回复机制（</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2.</w:t>
            </w:r>
            <w:r>
              <w:rPr>
                <w:rFonts w:hint="eastAsia" w:ascii="宋体" w:hAnsi="宋体" w:cs="宋体"/>
                <w:kern w:val="0"/>
              </w:rPr>
              <w:t>当年度群众信访办理回复率达</w:t>
            </w:r>
            <w:r>
              <w:rPr>
                <w:rFonts w:ascii="宋体" w:hAnsi="宋体" w:cs="宋体"/>
                <w:kern w:val="0"/>
              </w:rPr>
              <w:t>100%</w:t>
            </w:r>
            <w:r>
              <w:rPr>
                <w:rFonts w:hint="eastAsia" w:ascii="宋体" w:hAnsi="宋体" w:cs="宋体"/>
                <w:kern w:val="0"/>
              </w:rPr>
              <w:t>（</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3.</w:t>
            </w:r>
            <w:r>
              <w:rPr>
                <w:rFonts w:hint="eastAsia" w:ascii="宋体" w:hAnsi="宋体" w:cs="宋体"/>
                <w:kern w:val="0"/>
              </w:rPr>
              <w:t>当年度群众信访及时办理回复率达</w:t>
            </w:r>
            <w:r>
              <w:rPr>
                <w:rFonts w:ascii="宋体" w:hAnsi="宋体" w:cs="宋体"/>
                <w:kern w:val="0"/>
              </w:rPr>
              <w:t>100%</w:t>
            </w:r>
            <w:r>
              <w:rPr>
                <w:rFonts w:hint="eastAsia" w:ascii="宋体" w:hAnsi="宋体" w:cs="宋体"/>
                <w:kern w:val="0"/>
              </w:rPr>
              <w:t>，未发生超期（</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20" w:lineRule="exact"/>
              <w:ind w:firstLine="315" w:firstLineChars="150"/>
              <w:rPr>
                <w:rFonts w:ascii="宋体" w:hAnsi="宋体" w:cs="宋体"/>
                <w:kern w:val="0"/>
              </w:rPr>
            </w:pPr>
          </w:p>
        </w:tc>
      </w:tr>
      <w:tr>
        <w:tblPrEx>
          <w:tblCellMar>
            <w:top w:w="0" w:type="dxa"/>
            <w:left w:w="108" w:type="dxa"/>
            <w:bottom w:w="0" w:type="dxa"/>
            <w:right w:w="108" w:type="dxa"/>
          </w:tblCellMar>
        </w:tblPrEx>
        <w:trPr>
          <w:trHeight w:val="1401" w:hRule="atLeast"/>
        </w:trPr>
        <w:tc>
          <w:tcPr>
            <w:tcW w:w="57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851" w:type="dxa"/>
            <w:tcBorders>
              <w:top w:val="nil"/>
              <w:left w:val="nil"/>
              <w:bottom w:val="nil"/>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公众或服务对象满意度</w:t>
            </w:r>
          </w:p>
        </w:tc>
        <w:tc>
          <w:tcPr>
            <w:tcW w:w="567" w:type="dxa"/>
            <w:tcBorders>
              <w:top w:val="nil"/>
              <w:left w:val="nil"/>
              <w:bottom w:val="nil"/>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nil"/>
              <w:right w:val="single" w:color="auto" w:sz="4" w:space="0"/>
            </w:tcBorders>
            <w:vAlign w:val="center"/>
          </w:tcPr>
          <w:p>
            <w:pPr>
              <w:widowControl/>
              <w:spacing w:line="320" w:lineRule="exact"/>
              <w:rPr>
                <w:rFonts w:ascii="宋体"/>
                <w:kern w:val="0"/>
              </w:rPr>
            </w:pPr>
            <w:r>
              <w:rPr>
                <w:rFonts w:hint="eastAsia" w:ascii="宋体" w:hAnsi="宋体" w:cs="宋体"/>
                <w:kern w:val="0"/>
              </w:rPr>
              <w:t>反映社会公众或部门（单位）的服务对象对部门履职效果的满意度。</w:t>
            </w:r>
          </w:p>
        </w:tc>
        <w:tc>
          <w:tcPr>
            <w:tcW w:w="5812" w:type="dxa"/>
            <w:tcBorders>
              <w:top w:val="nil"/>
              <w:left w:val="nil"/>
              <w:bottom w:val="nil"/>
              <w:right w:val="single" w:color="auto" w:sz="4" w:space="0"/>
            </w:tcBorders>
            <w:vAlign w:val="center"/>
          </w:tcPr>
          <w:p>
            <w:pPr>
              <w:widowControl/>
              <w:spacing w:line="320" w:lineRule="exact"/>
              <w:ind w:firstLine="420"/>
              <w:rPr>
                <w:rFonts w:ascii="宋体"/>
                <w:kern w:val="0"/>
              </w:rPr>
            </w:pPr>
            <w:r>
              <w:rPr>
                <w:rFonts w:hint="eastAsia" w:ascii="宋体" w:hAnsi="宋体" w:cs="宋体"/>
                <w:kern w:val="0"/>
              </w:rPr>
              <w:t>社会公众或服务对象是指部门（单位）履行职责而影响到的部门、群体或个人，一般采取社会调查的方式。如难以单独开展满意度调查的，可参考区统计部门的数据、年度区直民主评议政风行风评价结果等数据，或者参考群众信访反馈的普遍性问题、本部门或权威第三方机构的开展满意度调查等进行分档计分。</w:t>
            </w:r>
          </w:p>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满意度≥</w:t>
            </w:r>
            <w:r>
              <w:rPr>
                <w:rFonts w:ascii="宋体" w:hAnsi="宋体" w:cs="宋体"/>
                <w:kern w:val="0"/>
              </w:rPr>
              <w:t>95%</w:t>
            </w:r>
            <w:r>
              <w:rPr>
                <w:rFonts w:hint="eastAsia" w:ascii="宋体" w:hAnsi="宋体" w:cs="宋体"/>
                <w:kern w:val="0"/>
              </w:rPr>
              <w:t>的，得</w:t>
            </w:r>
            <w:r>
              <w:rPr>
                <w:rFonts w:ascii="宋体" w:hAnsi="宋体" w:cs="宋体"/>
                <w:kern w:val="0"/>
              </w:rPr>
              <w:t>6</w:t>
            </w:r>
            <w:r>
              <w:rPr>
                <w:rFonts w:hint="eastAsia" w:ascii="宋体" w:hAnsi="宋体" w:cs="宋体"/>
                <w:kern w:val="0"/>
              </w:rPr>
              <w:t>分；</w:t>
            </w:r>
          </w:p>
          <w:p>
            <w:pPr>
              <w:widowControl/>
              <w:spacing w:line="320" w:lineRule="exact"/>
              <w:ind w:firstLine="420"/>
              <w:rPr>
                <w:rFonts w:ascii="宋体"/>
                <w:kern w:val="0"/>
              </w:rPr>
            </w:pPr>
            <w:r>
              <w:rPr>
                <w:rFonts w:ascii="宋体" w:cs="宋体"/>
                <w:kern w:val="0"/>
              </w:rPr>
              <w:t>2.</w:t>
            </w:r>
            <w:r>
              <w:rPr>
                <w:rFonts w:ascii="宋体" w:hAnsi="宋体" w:cs="宋体"/>
                <w:kern w:val="0"/>
              </w:rPr>
              <w:t xml:space="preserve"> 90%</w:t>
            </w:r>
            <w:r>
              <w:rPr>
                <w:rFonts w:hint="eastAsia" w:ascii="宋体" w:hAnsi="宋体" w:cs="宋体"/>
                <w:kern w:val="0"/>
              </w:rPr>
              <w:t>≤满意度＜</w:t>
            </w:r>
            <w:r>
              <w:rPr>
                <w:rFonts w:ascii="宋体" w:hAnsi="宋体" w:cs="宋体"/>
                <w:kern w:val="0"/>
              </w:rPr>
              <w:t>95%</w:t>
            </w:r>
            <w:r>
              <w:rPr>
                <w:rFonts w:hint="eastAsia" w:ascii="宋体" w:hAnsi="宋体" w:cs="宋体"/>
                <w:kern w:val="0"/>
              </w:rPr>
              <w:t>的，得</w:t>
            </w:r>
            <w:r>
              <w:rPr>
                <w:rFonts w:ascii="宋体" w:hAnsi="宋体" w:cs="宋体"/>
                <w:kern w:val="0"/>
              </w:rPr>
              <w:t>4</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3. 80%</w:t>
            </w:r>
            <w:r>
              <w:rPr>
                <w:rFonts w:hint="eastAsia" w:ascii="宋体" w:hAnsi="宋体" w:cs="宋体"/>
                <w:kern w:val="0"/>
              </w:rPr>
              <w:t>≤满意度＜</w:t>
            </w:r>
            <w:r>
              <w:rPr>
                <w:rFonts w:ascii="宋体" w:hAnsi="宋体" w:cs="宋体"/>
                <w:kern w:val="0"/>
              </w:rPr>
              <w:t>90%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 xml:space="preserve">4. </w:t>
            </w:r>
            <w:r>
              <w:rPr>
                <w:rFonts w:hint="eastAsia" w:ascii="宋体" w:hAnsi="宋体" w:cs="宋体"/>
                <w:kern w:val="0"/>
              </w:rPr>
              <w:t>满意度＜</w:t>
            </w:r>
            <w:r>
              <w:rPr>
                <w:rFonts w:ascii="宋体" w:hAnsi="宋体" w:cs="宋体"/>
                <w:kern w:val="0"/>
              </w:rPr>
              <w:t>80%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tc>
        <w:tc>
          <w:tcPr>
            <w:tcW w:w="822" w:type="dxa"/>
            <w:tcBorders>
              <w:top w:val="nil"/>
              <w:left w:val="nil"/>
              <w:bottom w:val="nil"/>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nil"/>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405" w:hRule="atLeast"/>
        </w:trPr>
        <w:tc>
          <w:tcPr>
            <w:tcW w:w="12044" w:type="dxa"/>
            <w:gridSpan w:val="8"/>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420"/>
              <w:jc w:val="center"/>
              <w:rPr>
                <w:rFonts w:ascii="宋体" w:hAnsi="宋体" w:cs="宋体"/>
                <w:b/>
                <w:bCs/>
                <w:kern w:val="0"/>
              </w:rPr>
            </w:pPr>
            <w:r>
              <w:rPr>
                <w:rFonts w:hint="eastAsia" w:ascii="宋体" w:hAnsi="宋体" w:cs="宋体"/>
                <w:b/>
                <w:bCs/>
                <w:kern w:val="0"/>
              </w:rPr>
              <w:t>总得分情况</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97</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20"/>
              <w:rPr>
                <w:rFonts w:ascii="宋体" w:hAnsi="宋体" w:cs="宋体"/>
                <w:kern w:val="0"/>
              </w:rPr>
            </w:pPr>
          </w:p>
        </w:tc>
      </w:tr>
    </w:tbl>
    <w:p>
      <w:pPr>
        <w:spacing w:line="320" w:lineRule="exact"/>
      </w:pPr>
      <w:r>
        <w:rPr>
          <w:rFonts w:hint="eastAsia" w:cs="宋体"/>
        </w:rPr>
        <w:t>附注：</w:t>
      </w:r>
      <w:r>
        <w:t>1.</w:t>
      </w:r>
      <w:r>
        <w:rPr>
          <w:rFonts w:hint="eastAsia" w:cs="宋体"/>
        </w:rPr>
        <w:t>《部门整体支出绩效评价共性指标体系框架》的适用对象是部门和单位；</w:t>
      </w:r>
    </w:p>
    <w:p>
      <w:pPr>
        <w:spacing w:line="320" w:lineRule="exact"/>
      </w:pPr>
      <w:r>
        <w:t xml:space="preserve">      2.</w:t>
      </w:r>
      <w:r>
        <w:rPr>
          <w:rFonts w:hint="eastAsia" w:cs="宋体"/>
        </w:rPr>
        <w:t>各项指标的分值是参考分值，各部门各单位在开展绩效评价时可结合不同评价对象的特点，赋予评价指标科学合理的权重分值，明确具体的评分标准。</w:t>
      </w:r>
    </w:p>
    <w:sectPr>
      <w:footerReference r:id="rId3" w:type="default"/>
      <w:pgSz w:w="16838" w:h="11906" w:orient="landscape"/>
      <w:pgMar w:top="709" w:right="820" w:bottom="1135" w:left="851" w:header="851" w:footer="680"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gxMmZjNWM5OTJlNjdlZWY2M2RkMDg4MjdkOWM4ZjYifQ=="/>
  </w:docVars>
  <w:rsids>
    <w:rsidRoot w:val="007C6A8D"/>
    <w:rsid w:val="0000021D"/>
    <w:rsid w:val="0001508B"/>
    <w:rsid w:val="00015287"/>
    <w:rsid w:val="00017AB4"/>
    <w:rsid w:val="00030032"/>
    <w:rsid w:val="0003488E"/>
    <w:rsid w:val="000509D2"/>
    <w:rsid w:val="000574BD"/>
    <w:rsid w:val="00060F08"/>
    <w:rsid w:val="0006427C"/>
    <w:rsid w:val="00073852"/>
    <w:rsid w:val="000757DF"/>
    <w:rsid w:val="0009313E"/>
    <w:rsid w:val="000949DA"/>
    <w:rsid w:val="00096A12"/>
    <w:rsid w:val="0009739D"/>
    <w:rsid w:val="000C1693"/>
    <w:rsid w:val="000C7F39"/>
    <w:rsid w:val="000D311F"/>
    <w:rsid w:val="000D5ECC"/>
    <w:rsid w:val="000E01F9"/>
    <w:rsid w:val="000E1445"/>
    <w:rsid w:val="000E18C3"/>
    <w:rsid w:val="000E37D0"/>
    <w:rsid w:val="001030DE"/>
    <w:rsid w:val="00107641"/>
    <w:rsid w:val="0011023B"/>
    <w:rsid w:val="00131966"/>
    <w:rsid w:val="001404CB"/>
    <w:rsid w:val="00150867"/>
    <w:rsid w:val="00156F7B"/>
    <w:rsid w:val="0015721B"/>
    <w:rsid w:val="00157B50"/>
    <w:rsid w:val="001720CA"/>
    <w:rsid w:val="00186083"/>
    <w:rsid w:val="00186AD9"/>
    <w:rsid w:val="001A4FCA"/>
    <w:rsid w:val="001B1562"/>
    <w:rsid w:val="001D282A"/>
    <w:rsid w:val="001D2C27"/>
    <w:rsid w:val="001E0AD6"/>
    <w:rsid w:val="001E1A5E"/>
    <w:rsid w:val="001E702E"/>
    <w:rsid w:val="001F5AA4"/>
    <w:rsid w:val="00200398"/>
    <w:rsid w:val="002060CA"/>
    <w:rsid w:val="00211308"/>
    <w:rsid w:val="00215CE2"/>
    <w:rsid w:val="00230A29"/>
    <w:rsid w:val="00235966"/>
    <w:rsid w:val="0024228D"/>
    <w:rsid w:val="00246660"/>
    <w:rsid w:val="002656F4"/>
    <w:rsid w:val="0027677C"/>
    <w:rsid w:val="002856B3"/>
    <w:rsid w:val="002910E6"/>
    <w:rsid w:val="002A7700"/>
    <w:rsid w:val="002C23E1"/>
    <w:rsid w:val="002C4CD4"/>
    <w:rsid w:val="002D014C"/>
    <w:rsid w:val="002D2A14"/>
    <w:rsid w:val="002D6BC9"/>
    <w:rsid w:val="002E0FBC"/>
    <w:rsid w:val="002E44C1"/>
    <w:rsid w:val="00301F1E"/>
    <w:rsid w:val="00303233"/>
    <w:rsid w:val="00314E08"/>
    <w:rsid w:val="00321CA0"/>
    <w:rsid w:val="00323B8D"/>
    <w:rsid w:val="0033552A"/>
    <w:rsid w:val="00341165"/>
    <w:rsid w:val="0034451F"/>
    <w:rsid w:val="003577C2"/>
    <w:rsid w:val="00382649"/>
    <w:rsid w:val="00392CF9"/>
    <w:rsid w:val="00394B68"/>
    <w:rsid w:val="003A0F34"/>
    <w:rsid w:val="003A3AB8"/>
    <w:rsid w:val="003B1900"/>
    <w:rsid w:val="003B732D"/>
    <w:rsid w:val="003D0481"/>
    <w:rsid w:val="003D2DDA"/>
    <w:rsid w:val="003D5362"/>
    <w:rsid w:val="003E2490"/>
    <w:rsid w:val="003F3BCB"/>
    <w:rsid w:val="003F4059"/>
    <w:rsid w:val="004063FF"/>
    <w:rsid w:val="00415ED0"/>
    <w:rsid w:val="00433F78"/>
    <w:rsid w:val="00441673"/>
    <w:rsid w:val="00447BDD"/>
    <w:rsid w:val="00450535"/>
    <w:rsid w:val="00456A6D"/>
    <w:rsid w:val="00471023"/>
    <w:rsid w:val="00477101"/>
    <w:rsid w:val="004805CE"/>
    <w:rsid w:val="004864E2"/>
    <w:rsid w:val="004A3245"/>
    <w:rsid w:val="004A3334"/>
    <w:rsid w:val="004B47F6"/>
    <w:rsid w:val="004C3CA5"/>
    <w:rsid w:val="004D4B5F"/>
    <w:rsid w:val="004D70DA"/>
    <w:rsid w:val="00504CEC"/>
    <w:rsid w:val="0051517E"/>
    <w:rsid w:val="00524EFD"/>
    <w:rsid w:val="0053288A"/>
    <w:rsid w:val="00567EEA"/>
    <w:rsid w:val="00574B4A"/>
    <w:rsid w:val="0058344B"/>
    <w:rsid w:val="00584DE7"/>
    <w:rsid w:val="005914C2"/>
    <w:rsid w:val="005A38A4"/>
    <w:rsid w:val="005A561A"/>
    <w:rsid w:val="005A7B7C"/>
    <w:rsid w:val="005C130E"/>
    <w:rsid w:val="005C1A5C"/>
    <w:rsid w:val="005C67A9"/>
    <w:rsid w:val="005C793D"/>
    <w:rsid w:val="005D190A"/>
    <w:rsid w:val="005D6FD8"/>
    <w:rsid w:val="005D7EA1"/>
    <w:rsid w:val="005F0C07"/>
    <w:rsid w:val="005F5204"/>
    <w:rsid w:val="005F7406"/>
    <w:rsid w:val="00615072"/>
    <w:rsid w:val="00631D0B"/>
    <w:rsid w:val="006507E9"/>
    <w:rsid w:val="0065716A"/>
    <w:rsid w:val="006623D2"/>
    <w:rsid w:val="006634E3"/>
    <w:rsid w:val="006668F7"/>
    <w:rsid w:val="00670E00"/>
    <w:rsid w:val="00673267"/>
    <w:rsid w:val="00676402"/>
    <w:rsid w:val="0069041F"/>
    <w:rsid w:val="0069621C"/>
    <w:rsid w:val="006A08E5"/>
    <w:rsid w:val="006A0B18"/>
    <w:rsid w:val="006D0D0B"/>
    <w:rsid w:val="006D1890"/>
    <w:rsid w:val="006E2C6E"/>
    <w:rsid w:val="006E5C0C"/>
    <w:rsid w:val="006F0724"/>
    <w:rsid w:val="00730AAB"/>
    <w:rsid w:val="00734E7A"/>
    <w:rsid w:val="00745E30"/>
    <w:rsid w:val="00752D49"/>
    <w:rsid w:val="00764C25"/>
    <w:rsid w:val="00775B6F"/>
    <w:rsid w:val="007A6DBF"/>
    <w:rsid w:val="007B1093"/>
    <w:rsid w:val="007C6A8D"/>
    <w:rsid w:val="007C77C0"/>
    <w:rsid w:val="007D7F99"/>
    <w:rsid w:val="007E03B1"/>
    <w:rsid w:val="007E16C0"/>
    <w:rsid w:val="007E3B55"/>
    <w:rsid w:val="007F11FC"/>
    <w:rsid w:val="0080464B"/>
    <w:rsid w:val="00811217"/>
    <w:rsid w:val="0082636C"/>
    <w:rsid w:val="008274B1"/>
    <w:rsid w:val="00832FD6"/>
    <w:rsid w:val="00833D97"/>
    <w:rsid w:val="00850128"/>
    <w:rsid w:val="00851088"/>
    <w:rsid w:val="0085384E"/>
    <w:rsid w:val="00860371"/>
    <w:rsid w:val="00862580"/>
    <w:rsid w:val="00866D4F"/>
    <w:rsid w:val="0087079B"/>
    <w:rsid w:val="00881C08"/>
    <w:rsid w:val="00886EBB"/>
    <w:rsid w:val="00895FED"/>
    <w:rsid w:val="008A5EE3"/>
    <w:rsid w:val="008C01DD"/>
    <w:rsid w:val="008C5E9F"/>
    <w:rsid w:val="008C63C0"/>
    <w:rsid w:val="008D07E4"/>
    <w:rsid w:val="008D3C34"/>
    <w:rsid w:val="008E1E8B"/>
    <w:rsid w:val="008E68C9"/>
    <w:rsid w:val="00904D8B"/>
    <w:rsid w:val="00907B9F"/>
    <w:rsid w:val="009173A7"/>
    <w:rsid w:val="00923FD1"/>
    <w:rsid w:val="009254A3"/>
    <w:rsid w:val="00931C47"/>
    <w:rsid w:val="009374E9"/>
    <w:rsid w:val="0094704A"/>
    <w:rsid w:val="009476AD"/>
    <w:rsid w:val="00953C51"/>
    <w:rsid w:val="00962AD4"/>
    <w:rsid w:val="009707CF"/>
    <w:rsid w:val="00980307"/>
    <w:rsid w:val="009803FA"/>
    <w:rsid w:val="009861AA"/>
    <w:rsid w:val="00997B8D"/>
    <w:rsid w:val="009B6BB4"/>
    <w:rsid w:val="009C3037"/>
    <w:rsid w:val="009D59C9"/>
    <w:rsid w:val="009E4CDE"/>
    <w:rsid w:val="00A04291"/>
    <w:rsid w:val="00A22783"/>
    <w:rsid w:val="00A24D63"/>
    <w:rsid w:val="00A2585A"/>
    <w:rsid w:val="00A327AA"/>
    <w:rsid w:val="00A365EC"/>
    <w:rsid w:val="00A62C1B"/>
    <w:rsid w:val="00A64252"/>
    <w:rsid w:val="00A81088"/>
    <w:rsid w:val="00A837C4"/>
    <w:rsid w:val="00A909E1"/>
    <w:rsid w:val="00A91F43"/>
    <w:rsid w:val="00AA3BBF"/>
    <w:rsid w:val="00AA5338"/>
    <w:rsid w:val="00AC140F"/>
    <w:rsid w:val="00AC3ADE"/>
    <w:rsid w:val="00AD1911"/>
    <w:rsid w:val="00AD4C3B"/>
    <w:rsid w:val="00AD7537"/>
    <w:rsid w:val="00AE1055"/>
    <w:rsid w:val="00B012E2"/>
    <w:rsid w:val="00B16374"/>
    <w:rsid w:val="00B2050B"/>
    <w:rsid w:val="00B21797"/>
    <w:rsid w:val="00B344BD"/>
    <w:rsid w:val="00B34F10"/>
    <w:rsid w:val="00B47F3A"/>
    <w:rsid w:val="00B63B3A"/>
    <w:rsid w:val="00B65D8E"/>
    <w:rsid w:val="00B6768F"/>
    <w:rsid w:val="00B7520E"/>
    <w:rsid w:val="00B77891"/>
    <w:rsid w:val="00B83B3F"/>
    <w:rsid w:val="00B86726"/>
    <w:rsid w:val="00B9050E"/>
    <w:rsid w:val="00BB7A05"/>
    <w:rsid w:val="00BC2D88"/>
    <w:rsid w:val="00BC6F6B"/>
    <w:rsid w:val="00BD192D"/>
    <w:rsid w:val="00BD6342"/>
    <w:rsid w:val="00BF4CA2"/>
    <w:rsid w:val="00C00DBD"/>
    <w:rsid w:val="00C2157C"/>
    <w:rsid w:val="00C278C5"/>
    <w:rsid w:val="00C300F9"/>
    <w:rsid w:val="00C3119A"/>
    <w:rsid w:val="00C31F30"/>
    <w:rsid w:val="00C409C6"/>
    <w:rsid w:val="00C702B8"/>
    <w:rsid w:val="00C90564"/>
    <w:rsid w:val="00C922A8"/>
    <w:rsid w:val="00CA7D0F"/>
    <w:rsid w:val="00CB3DD2"/>
    <w:rsid w:val="00CB56DB"/>
    <w:rsid w:val="00CB6C81"/>
    <w:rsid w:val="00CB7FE9"/>
    <w:rsid w:val="00CC0E1B"/>
    <w:rsid w:val="00CC3765"/>
    <w:rsid w:val="00CC41B1"/>
    <w:rsid w:val="00CC7C71"/>
    <w:rsid w:val="00CD00CD"/>
    <w:rsid w:val="00CD69A4"/>
    <w:rsid w:val="00CE636F"/>
    <w:rsid w:val="00D02D95"/>
    <w:rsid w:val="00D07C3D"/>
    <w:rsid w:val="00D24842"/>
    <w:rsid w:val="00D3555A"/>
    <w:rsid w:val="00D50E3A"/>
    <w:rsid w:val="00D74103"/>
    <w:rsid w:val="00D86FE6"/>
    <w:rsid w:val="00DC002F"/>
    <w:rsid w:val="00DD1293"/>
    <w:rsid w:val="00DF19FF"/>
    <w:rsid w:val="00DF6BC6"/>
    <w:rsid w:val="00E053B4"/>
    <w:rsid w:val="00E32187"/>
    <w:rsid w:val="00E32FC9"/>
    <w:rsid w:val="00E34FCB"/>
    <w:rsid w:val="00E35476"/>
    <w:rsid w:val="00E4503B"/>
    <w:rsid w:val="00E61598"/>
    <w:rsid w:val="00E61B07"/>
    <w:rsid w:val="00E707B4"/>
    <w:rsid w:val="00E8740B"/>
    <w:rsid w:val="00E96E8B"/>
    <w:rsid w:val="00E97131"/>
    <w:rsid w:val="00E975EF"/>
    <w:rsid w:val="00EA1345"/>
    <w:rsid w:val="00EB2116"/>
    <w:rsid w:val="00EC6DF6"/>
    <w:rsid w:val="00ED5955"/>
    <w:rsid w:val="00EE2AFD"/>
    <w:rsid w:val="00EF319E"/>
    <w:rsid w:val="00F05CC5"/>
    <w:rsid w:val="00F34DD9"/>
    <w:rsid w:val="00F44866"/>
    <w:rsid w:val="00F57AFD"/>
    <w:rsid w:val="00F76790"/>
    <w:rsid w:val="00F7783B"/>
    <w:rsid w:val="00F778F1"/>
    <w:rsid w:val="00F85BCF"/>
    <w:rsid w:val="00FA35BB"/>
    <w:rsid w:val="00FA665A"/>
    <w:rsid w:val="00FB06FD"/>
    <w:rsid w:val="01B23C8A"/>
    <w:rsid w:val="02746758"/>
    <w:rsid w:val="04576CB8"/>
    <w:rsid w:val="058134A2"/>
    <w:rsid w:val="08642B93"/>
    <w:rsid w:val="087F0482"/>
    <w:rsid w:val="0BB74675"/>
    <w:rsid w:val="1374606E"/>
    <w:rsid w:val="13EC7DDF"/>
    <w:rsid w:val="16530FC6"/>
    <w:rsid w:val="1BE6400B"/>
    <w:rsid w:val="1DC24073"/>
    <w:rsid w:val="1E056F38"/>
    <w:rsid w:val="1EDB1CC2"/>
    <w:rsid w:val="1F0D06BA"/>
    <w:rsid w:val="20F63000"/>
    <w:rsid w:val="21F7032B"/>
    <w:rsid w:val="226A7B07"/>
    <w:rsid w:val="259336E5"/>
    <w:rsid w:val="2AE5789B"/>
    <w:rsid w:val="2B0D6900"/>
    <w:rsid w:val="325352A9"/>
    <w:rsid w:val="32A20DA6"/>
    <w:rsid w:val="33703B8D"/>
    <w:rsid w:val="35774CAE"/>
    <w:rsid w:val="35E833E2"/>
    <w:rsid w:val="361F2744"/>
    <w:rsid w:val="45982472"/>
    <w:rsid w:val="48AC068E"/>
    <w:rsid w:val="4BBE31DB"/>
    <w:rsid w:val="4FE4112F"/>
    <w:rsid w:val="51525E56"/>
    <w:rsid w:val="51640F5C"/>
    <w:rsid w:val="51ED4627"/>
    <w:rsid w:val="530C73F1"/>
    <w:rsid w:val="561B4D1E"/>
    <w:rsid w:val="56BF6709"/>
    <w:rsid w:val="58CE3439"/>
    <w:rsid w:val="5B6D550B"/>
    <w:rsid w:val="5D814826"/>
    <w:rsid w:val="5EF718C9"/>
    <w:rsid w:val="638270C7"/>
    <w:rsid w:val="638763F9"/>
    <w:rsid w:val="67D63400"/>
    <w:rsid w:val="68F574E5"/>
    <w:rsid w:val="696414EB"/>
    <w:rsid w:val="6A2C692A"/>
    <w:rsid w:val="6E7D2F95"/>
    <w:rsid w:val="6EC52506"/>
    <w:rsid w:val="6FEFA63A"/>
    <w:rsid w:val="70F5220B"/>
    <w:rsid w:val="7163088B"/>
    <w:rsid w:val="73F5740A"/>
    <w:rsid w:val="76730885"/>
    <w:rsid w:val="77CC3B71"/>
    <w:rsid w:val="789206EE"/>
    <w:rsid w:val="7B0703E4"/>
    <w:rsid w:val="7E9705B9"/>
    <w:rsid w:val="7EAC7001"/>
    <w:rsid w:val="DFFFB5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sz w:val="20"/>
      <w:szCs w:val="20"/>
    </w:rPr>
  </w:style>
  <w:style w:type="paragraph" w:styleId="3">
    <w:name w:val="Body Text"/>
    <w:basedOn w:val="1"/>
    <w:link w:val="18"/>
    <w:unhideWhenUsed/>
    <w:qFormat/>
    <w:uiPriority w:val="99"/>
    <w:pPr>
      <w:jc w:val="center"/>
    </w:pPr>
    <w:rPr>
      <w:rFonts w:asciiTheme="minorHAnsi" w:hAnsiTheme="minorHAnsi" w:eastAsiaTheme="minorEastAsia" w:cstheme="minorBidi"/>
    </w:rPr>
  </w:style>
  <w:style w:type="paragraph" w:styleId="4">
    <w:name w:val="endnote text"/>
    <w:basedOn w:val="1"/>
    <w:link w:val="17"/>
    <w:unhideWhenUsed/>
    <w:qFormat/>
    <w:uiPriority w:val="99"/>
    <w:pPr>
      <w:snapToGrid w:val="0"/>
      <w:jc w:val="left"/>
    </w:pPr>
  </w:style>
  <w:style w:type="paragraph" w:styleId="5">
    <w:name w:val="Balloon Text"/>
    <w:basedOn w:val="1"/>
    <w:link w:val="14"/>
    <w:unhideWhenUsed/>
    <w:qFormat/>
    <w:uiPriority w:val="0"/>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rPr>
      <w:sz w:val="24"/>
    </w:rPr>
  </w:style>
  <w:style w:type="character" w:styleId="11">
    <w:name w:val="endnote reference"/>
    <w:basedOn w:val="10"/>
    <w:unhideWhenUsed/>
    <w:qFormat/>
    <w:uiPriority w:val="99"/>
    <w:rPr>
      <w:vertAlign w:val="superscript"/>
    </w:rPr>
  </w:style>
  <w:style w:type="character" w:styleId="12">
    <w:name w:val="page number"/>
    <w:basedOn w:val="10"/>
    <w:qFormat/>
    <w:uiPriority w:val="99"/>
  </w:style>
  <w:style w:type="character" w:styleId="13">
    <w:name w:val="Hyperlink"/>
    <w:basedOn w:val="10"/>
    <w:unhideWhenUsed/>
    <w:qFormat/>
    <w:uiPriority w:val="99"/>
    <w:rPr>
      <w:color w:val="0000FF"/>
      <w:u w:val="single"/>
    </w:rPr>
  </w:style>
  <w:style w:type="character" w:customStyle="1" w:styleId="14">
    <w:name w:val="批注框文本 Char"/>
    <w:basedOn w:val="10"/>
    <w:link w:val="5"/>
    <w:semiHidden/>
    <w:qFormat/>
    <w:uiPriority w:val="99"/>
    <w:rPr>
      <w:rFonts w:ascii="Times New Roman" w:hAnsi="Times New Roman" w:eastAsia="宋体" w:cs="Times New Roman"/>
      <w:sz w:val="18"/>
      <w:szCs w:val="18"/>
    </w:rPr>
  </w:style>
  <w:style w:type="character" w:customStyle="1" w:styleId="15">
    <w:name w:val="页眉 Char"/>
    <w:basedOn w:val="10"/>
    <w:link w:val="7"/>
    <w:qFormat/>
    <w:uiPriority w:val="99"/>
    <w:rPr>
      <w:rFonts w:ascii="Times New Roman" w:hAnsi="Times New Roman" w:eastAsia="宋体" w:cs="Times New Roman"/>
      <w:sz w:val="18"/>
      <w:szCs w:val="18"/>
    </w:rPr>
  </w:style>
  <w:style w:type="character" w:customStyle="1" w:styleId="16">
    <w:name w:val="页脚 Char"/>
    <w:basedOn w:val="10"/>
    <w:link w:val="6"/>
    <w:qFormat/>
    <w:uiPriority w:val="99"/>
    <w:rPr>
      <w:rFonts w:ascii="Times New Roman" w:hAnsi="Times New Roman" w:eastAsia="宋体" w:cs="Times New Roman"/>
      <w:sz w:val="18"/>
      <w:szCs w:val="18"/>
    </w:rPr>
  </w:style>
  <w:style w:type="character" w:customStyle="1" w:styleId="17">
    <w:name w:val="尾注文本 Char"/>
    <w:basedOn w:val="10"/>
    <w:link w:val="4"/>
    <w:semiHidden/>
    <w:qFormat/>
    <w:uiPriority w:val="99"/>
    <w:rPr>
      <w:rFonts w:ascii="Times New Roman" w:hAnsi="Times New Roman" w:eastAsia="宋体" w:cs="Times New Roman"/>
      <w:szCs w:val="24"/>
    </w:rPr>
  </w:style>
  <w:style w:type="character" w:customStyle="1" w:styleId="18">
    <w:name w:val="正文文本 Char"/>
    <w:basedOn w:val="10"/>
    <w:link w:val="3"/>
    <w:qFormat/>
    <w:uiPriority w:val="99"/>
    <w:rPr>
      <w:kern w:val="2"/>
      <w:sz w:val="21"/>
      <w:szCs w:val="24"/>
    </w:rPr>
  </w:style>
  <w:style w:type="character" w:customStyle="1" w:styleId="19">
    <w:name w:val="正文文本 Char1"/>
    <w:basedOn w:val="10"/>
    <w:semiHidden/>
    <w:qFormat/>
    <w:uiPriority w:val="99"/>
    <w:rPr>
      <w:rFonts w:ascii="Times New Roman" w:hAnsi="Times New Roman" w:eastAsia="宋体" w:cs="Times New Roman"/>
      <w:kern w:val="2"/>
      <w:sz w:val="21"/>
      <w:szCs w:val="24"/>
    </w:rPr>
  </w:style>
  <w:style w:type="paragraph" w:customStyle="1" w:styleId="20">
    <w:name w:val="List Paragraph"/>
    <w:basedOn w:val="1"/>
    <w:unhideWhenUsed/>
    <w:qFormat/>
    <w:uiPriority w:val="99"/>
    <w:pPr>
      <w:ind w:firstLine="420" w:firstLineChars="200"/>
    </w:pPr>
  </w:style>
  <w:style w:type="character" w:customStyle="1" w:styleId="21">
    <w:name w:val="fontstyle01"/>
    <w:qFormat/>
    <w:uiPriority w:val="0"/>
    <w:rPr>
      <w:rFonts w:hint="eastAsia" w:ascii="仿宋_GB2312" w:hAnsi="Calibri" w:eastAsia="仿宋_GB2312" w:cs="Times New Roman"/>
      <w:color w:val="00000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27</Pages>
  <Words>13097</Words>
  <Characters>13494</Characters>
  <Lines>99</Lines>
  <Paragraphs>28</Paragraphs>
  <TotalTime>15</TotalTime>
  <ScaleCrop>false</ScaleCrop>
  <LinksUpToDate>false</LinksUpToDate>
  <CharactersWithSpaces>13618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2021-05-02T08:46:00Z</dcterms:created>
  <dc:creator>桂鑫</dc:creator>
  <cp:lastModifiedBy>哎呦璯     1km</cp:lastModifiedBy>
  <dcterms:modified xsi:type="dcterms:W3CDTF">2023-01-30T04:33:44Z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7F39CE9C0325425C9FE03BE32E0AC86F</vt:lpwstr>
  </property>
</Properties>
</file>